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8F0EC" w14:textId="77777777" w:rsidR="007737FA" w:rsidRDefault="007737FA" w:rsidP="756136D8">
      <w:pPr>
        <w:spacing w:after="0" w:line="240" w:lineRule="auto"/>
        <w:jc w:val="center"/>
        <w:rPr>
          <w:b/>
          <w:bCs/>
          <w:sz w:val="32"/>
          <w:szCs w:val="32"/>
        </w:rPr>
      </w:pPr>
    </w:p>
    <w:p w14:paraId="76FD8096" w14:textId="0EB28F1C" w:rsidR="009F04AD" w:rsidRPr="002178D9" w:rsidRDefault="009F04AD" w:rsidP="756136D8">
      <w:pPr>
        <w:spacing w:after="0" w:line="240" w:lineRule="auto"/>
        <w:jc w:val="center"/>
        <w:rPr>
          <w:b/>
          <w:bCs/>
          <w:sz w:val="32"/>
          <w:szCs w:val="32"/>
        </w:rPr>
      </w:pPr>
      <w:r w:rsidRPr="002178D9">
        <w:rPr>
          <w:b/>
          <w:bCs/>
          <w:sz w:val="32"/>
          <w:szCs w:val="32"/>
        </w:rPr>
        <w:t xml:space="preserve">Women’s Peace and Humanitarian Fund </w:t>
      </w:r>
    </w:p>
    <w:p w14:paraId="05EF0AA0" w14:textId="77777777" w:rsidR="00D932DE" w:rsidRPr="002178D9" w:rsidRDefault="00D932DE" w:rsidP="00D932DE">
      <w:pPr>
        <w:spacing w:after="0" w:line="240" w:lineRule="auto"/>
        <w:jc w:val="center"/>
        <w:rPr>
          <w:b/>
          <w:color w:val="4472C4" w:themeColor="accent5"/>
          <w:sz w:val="32"/>
          <w:szCs w:val="32"/>
        </w:rPr>
      </w:pPr>
    </w:p>
    <w:p w14:paraId="0AC0F55F" w14:textId="3D6077FD" w:rsidR="00D932DE" w:rsidRPr="002178D9" w:rsidRDefault="00D932DE" w:rsidP="00D932DE">
      <w:pPr>
        <w:spacing w:after="0" w:line="240" w:lineRule="auto"/>
        <w:jc w:val="center"/>
        <w:rPr>
          <w:b/>
          <w:color w:val="4472C4" w:themeColor="accent5"/>
          <w:sz w:val="32"/>
          <w:szCs w:val="32"/>
        </w:rPr>
      </w:pPr>
      <w:r w:rsidRPr="002178D9">
        <w:rPr>
          <w:b/>
          <w:color w:val="4472C4" w:themeColor="accent5"/>
          <w:sz w:val="32"/>
          <w:szCs w:val="32"/>
        </w:rPr>
        <w:t>Call for Proposals</w:t>
      </w:r>
    </w:p>
    <w:p w14:paraId="38E7FE86" w14:textId="77777777" w:rsidR="00C30F83" w:rsidRPr="002178D9" w:rsidRDefault="00C30F83" w:rsidP="00D932DE">
      <w:pPr>
        <w:spacing w:after="0" w:line="240" w:lineRule="auto"/>
        <w:jc w:val="center"/>
        <w:rPr>
          <w:b/>
          <w:color w:val="4472C4" w:themeColor="accent5"/>
          <w:sz w:val="14"/>
          <w:szCs w:val="14"/>
        </w:rPr>
      </w:pPr>
    </w:p>
    <w:p w14:paraId="05F20B23" w14:textId="09E85B24" w:rsidR="00C30F83" w:rsidRPr="002178D9" w:rsidRDefault="00C30F83" w:rsidP="00D932DE">
      <w:pPr>
        <w:spacing w:after="0" w:line="240" w:lineRule="auto"/>
        <w:jc w:val="center"/>
        <w:rPr>
          <w:b/>
          <w:color w:val="4472C4" w:themeColor="accent5"/>
          <w:sz w:val="36"/>
          <w:szCs w:val="36"/>
        </w:rPr>
      </w:pPr>
      <w:r w:rsidRPr="002178D9">
        <w:rPr>
          <w:rFonts w:ascii="Calibri" w:eastAsia="Times New Roman" w:hAnsi="Calibri" w:cs="Calibri"/>
          <w:b/>
          <w:bCs/>
          <w:color w:val="000000" w:themeColor="text1"/>
          <w:sz w:val="24"/>
          <w:szCs w:val="24"/>
          <w:lang w:eastAsia="fr-FR"/>
        </w:rPr>
        <w:t xml:space="preserve">Enhancing </w:t>
      </w:r>
      <w:r w:rsidR="00FC211F" w:rsidRPr="002178D9">
        <w:rPr>
          <w:rFonts w:ascii="Calibri" w:eastAsia="Times New Roman" w:hAnsi="Calibri" w:cs="Calibri"/>
          <w:b/>
          <w:bCs/>
          <w:color w:val="000000" w:themeColor="text1"/>
          <w:sz w:val="24"/>
          <w:szCs w:val="24"/>
          <w:lang w:eastAsia="fr-FR"/>
        </w:rPr>
        <w:t>local women’s civil society organizations’ i</w:t>
      </w:r>
      <w:r w:rsidRPr="002178D9">
        <w:rPr>
          <w:rFonts w:ascii="Calibri" w:eastAsia="Times New Roman" w:hAnsi="Calibri" w:cs="Calibri"/>
          <w:b/>
          <w:bCs/>
          <w:color w:val="000000" w:themeColor="text1"/>
          <w:sz w:val="24"/>
          <w:szCs w:val="24"/>
          <w:lang w:eastAsia="fr-FR"/>
        </w:rPr>
        <w:t>nstitutional Capacities for Programme Implementation and Management in P</w:t>
      </w:r>
      <w:r w:rsidR="00CA47B0" w:rsidRPr="002178D9">
        <w:rPr>
          <w:rFonts w:ascii="Calibri" w:eastAsia="Times New Roman" w:hAnsi="Calibri" w:cs="Calibri"/>
          <w:b/>
          <w:bCs/>
          <w:color w:val="000000" w:themeColor="text1"/>
          <w:sz w:val="24"/>
          <w:szCs w:val="24"/>
          <w:lang w:eastAsia="fr-FR"/>
        </w:rPr>
        <w:t xml:space="preserve">apua </w:t>
      </w:r>
      <w:r w:rsidRPr="002178D9">
        <w:rPr>
          <w:rFonts w:ascii="Calibri" w:eastAsia="Times New Roman" w:hAnsi="Calibri" w:cs="Calibri"/>
          <w:b/>
          <w:bCs/>
          <w:color w:val="000000" w:themeColor="text1"/>
          <w:sz w:val="24"/>
          <w:szCs w:val="24"/>
          <w:lang w:eastAsia="fr-FR"/>
        </w:rPr>
        <w:t>N</w:t>
      </w:r>
      <w:r w:rsidR="00CA47B0" w:rsidRPr="002178D9">
        <w:rPr>
          <w:rFonts w:ascii="Calibri" w:eastAsia="Times New Roman" w:hAnsi="Calibri" w:cs="Calibri"/>
          <w:b/>
          <w:bCs/>
          <w:color w:val="000000" w:themeColor="text1"/>
          <w:sz w:val="24"/>
          <w:szCs w:val="24"/>
          <w:lang w:eastAsia="fr-FR"/>
        </w:rPr>
        <w:t xml:space="preserve">ew </w:t>
      </w:r>
      <w:r w:rsidRPr="002178D9">
        <w:rPr>
          <w:rFonts w:ascii="Calibri" w:eastAsia="Times New Roman" w:hAnsi="Calibri" w:cs="Calibri"/>
          <w:b/>
          <w:bCs/>
          <w:color w:val="000000" w:themeColor="text1"/>
          <w:sz w:val="24"/>
          <w:szCs w:val="24"/>
          <w:lang w:eastAsia="fr-FR"/>
        </w:rPr>
        <w:t>G</w:t>
      </w:r>
      <w:r w:rsidR="00CA47B0" w:rsidRPr="002178D9">
        <w:rPr>
          <w:rFonts w:ascii="Calibri" w:eastAsia="Times New Roman" w:hAnsi="Calibri" w:cs="Calibri"/>
          <w:b/>
          <w:bCs/>
          <w:color w:val="000000" w:themeColor="text1"/>
          <w:sz w:val="24"/>
          <w:szCs w:val="24"/>
          <w:lang w:eastAsia="fr-FR"/>
        </w:rPr>
        <w:t>uinea</w:t>
      </w:r>
      <w:r w:rsidR="00B46904" w:rsidRPr="002178D9">
        <w:rPr>
          <w:rFonts w:ascii="Calibri" w:eastAsia="Times New Roman" w:hAnsi="Calibri" w:cs="Calibri"/>
          <w:b/>
          <w:bCs/>
          <w:color w:val="000000" w:themeColor="text1"/>
          <w:sz w:val="24"/>
          <w:szCs w:val="24"/>
          <w:lang w:eastAsia="fr-FR"/>
        </w:rPr>
        <w:t xml:space="preserve"> (PNG)</w:t>
      </w:r>
    </w:p>
    <w:p w14:paraId="6A58AB29" w14:textId="77777777" w:rsidR="009F04AD" w:rsidRPr="002178D9" w:rsidRDefault="009F04AD" w:rsidP="009F04AD">
      <w:pPr>
        <w:spacing w:after="0" w:line="240" w:lineRule="auto"/>
        <w:jc w:val="center"/>
        <w:rPr>
          <w:sz w:val="14"/>
          <w:szCs w:val="14"/>
        </w:rPr>
      </w:pPr>
    </w:p>
    <w:p w14:paraId="66AB2BD1" w14:textId="2D6F891E" w:rsidR="009F04AD" w:rsidRPr="00ED01D7" w:rsidRDefault="009F04AD" w:rsidP="009F04AD">
      <w:pPr>
        <w:spacing w:after="0" w:line="240" w:lineRule="auto"/>
        <w:jc w:val="center"/>
        <w:rPr>
          <w:b/>
          <w:i/>
          <w:sz w:val="24"/>
          <w:szCs w:val="24"/>
        </w:rPr>
      </w:pPr>
      <w:r w:rsidRPr="002178D9">
        <w:rPr>
          <w:b/>
          <w:i/>
          <w:sz w:val="24"/>
          <w:szCs w:val="24"/>
        </w:rPr>
        <w:t xml:space="preserve"> Call Opens: </w:t>
      </w:r>
      <w:r w:rsidR="00234843" w:rsidRPr="00ED01D7">
        <w:rPr>
          <w:b/>
          <w:i/>
          <w:sz w:val="24"/>
          <w:szCs w:val="24"/>
        </w:rPr>
        <w:t>22 March 2020</w:t>
      </w:r>
    </w:p>
    <w:p w14:paraId="4FBCEEA8" w14:textId="0BC096A7" w:rsidR="009F04AD" w:rsidRPr="002178D9" w:rsidRDefault="009F04AD" w:rsidP="009F04AD">
      <w:pPr>
        <w:spacing w:after="0" w:line="240" w:lineRule="auto"/>
        <w:jc w:val="center"/>
        <w:rPr>
          <w:b/>
          <w:i/>
          <w:sz w:val="24"/>
          <w:szCs w:val="24"/>
        </w:rPr>
      </w:pPr>
      <w:r w:rsidRPr="00ED01D7">
        <w:rPr>
          <w:b/>
          <w:i/>
          <w:sz w:val="24"/>
          <w:szCs w:val="24"/>
        </w:rPr>
        <w:t xml:space="preserve">Deadline for Submissions: </w:t>
      </w:r>
      <w:r w:rsidR="00643EF4">
        <w:rPr>
          <w:b/>
          <w:i/>
          <w:sz w:val="24"/>
          <w:szCs w:val="24"/>
        </w:rPr>
        <w:t>7</w:t>
      </w:r>
      <w:r w:rsidR="000A0FF0" w:rsidRPr="00ED01D7">
        <w:rPr>
          <w:b/>
          <w:i/>
          <w:sz w:val="24"/>
          <w:szCs w:val="24"/>
          <w:vertAlign w:val="superscript"/>
        </w:rPr>
        <w:t>th</w:t>
      </w:r>
      <w:r w:rsidR="000A0FF0" w:rsidRPr="00ED01D7">
        <w:rPr>
          <w:b/>
          <w:i/>
          <w:sz w:val="24"/>
          <w:szCs w:val="24"/>
        </w:rPr>
        <w:t xml:space="preserve"> April</w:t>
      </w:r>
      <w:r w:rsidR="000A0FF0">
        <w:rPr>
          <w:b/>
          <w:i/>
          <w:sz w:val="24"/>
          <w:szCs w:val="24"/>
        </w:rPr>
        <w:t xml:space="preserve"> 2021</w:t>
      </w:r>
    </w:p>
    <w:p w14:paraId="68BA0580" w14:textId="77777777" w:rsidR="001253D5" w:rsidRPr="002178D9" w:rsidRDefault="001253D5" w:rsidP="000B7AA6">
      <w:pPr>
        <w:spacing w:after="0"/>
        <w:rPr>
          <w:sz w:val="24"/>
          <w:szCs w:val="24"/>
        </w:rPr>
      </w:pPr>
    </w:p>
    <w:p w14:paraId="1E796A80" w14:textId="46074BA8" w:rsidR="00306EEB" w:rsidRPr="002178D9" w:rsidRDefault="00306EEB" w:rsidP="00074697">
      <w:pPr>
        <w:pStyle w:val="ListParagraph"/>
        <w:numPr>
          <w:ilvl w:val="0"/>
          <w:numId w:val="1"/>
        </w:numPr>
        <w:spacing w:after="0" w:line="240" w:lineRule="auto"/>
        <w:ind w:left="360"/>
        <w:jc w:val="both"/>
        <w:rPr>
          <w:b/>
        </w:rPr>
      </w:pPr>
      <w:r w:rsidRPr="002178D9">
        <w:rPr>
          <w:b/>
        </w:rPr>
        <w:t>About the Women’s Peace and Humanitarian Fund (WPHF)</w:t>
      </w:r>
    </w:p>
    <w:p w14:paraId="32F784F2" w14:textId="77777777" w:rsidR="00306EEB" w:rsidRPr="002178D9" w:rsidRDefault="00306EEB" w:rsidP="00306EEB">
      <w:pPr>
        <w:spacing w:after="0" w:line="240" w:lineRule="auto"/>
        <w:jc w:val="both"/>
      </w:pPr>
      <w:r w:rsidRPr="002178D9">
        <w:t>Composed of representatives from donors, United Nations entities, and civil society organizations, the WPHF is a global pooled funding mechanism which aims to re-energize action and stimulate a significant increase in financing for women’s participation, leadership, and empowerment in peace and security processes and humanitarian response. The WPHF is a flexible and rapid financing mechanism. It supports quality interventions designed to enhance the capacity of local women to prevent conflict, respond to crises and emergencies, and seize key peacebuilding opportunities.</w:t>
      </w:r>
    </w:p>
    <w:p w14:paraId="5CB40696" w14:textId="77777777" w:rsidR="00306EEB" w:rsidRPr="002178D9" w:rsidRDefault="00306EEB" w:rsidP="00306EEB">
      <w:pPr>
        <w:spacing w:after="0" w:line="240" w:lineRule="auto"/>
        <w:jc w:val="both"/>
      </w:pPr>
    </w:p>
    <w:p w14:paraId="016D9E0F" w14:textId="46773F35" w:rsidR="00306EEB" w:rsidRPr="002178D9" w:rsidRDefault="00306EEB" w:rsidP="00306EEB">
      <w:pPr>
        <w:spacing w:after="0" w:line="240" w:lineRule="auto"/>
        <w:jc w:val="both"/>
        <w:rPr>
          <w:rFonts w:ascii="Calibri" w:hAnsi="Calibri" w:cs="Arial"/>
        </w:rPr>
      </w:pPr>
      <w:r w:rsidRPr="002178D9">
        <w:rPr>
          <w:rFonts w:ascii="Calibri" w:hAnsi="Calibri" w:cs="Calibri"/>
          <w:lang w:eastAsia="en-GB"/>
        </w:rPr>
        <w:t>The WPHF</w:t>
      </w:r>
      <w:r w:rsidRPr="002178D9">
        <w:rPr>
          <w:rFonts w:ascii="Calibri" w:hAnsi="Calibri"/>
        </w:rPr>
        <w:t xml:space="preserve"> breaks silos between humanitarian, peace, security, and development finance by i</w:t>
      </w:r>
      <w:r w:rsidRPr="002178D9">
        <w:rPr>
          <w:rFonts w:ascii="Calibri" w:hAnsi="Calibri" w:cs="Arial"/>
        </w:rPr>
        <w:t xml:space="preserve">nvesting in enhancing women’s engagement, leadership, and empowerment across all phases of crisis, peace and security, and development. It addresses structural funding gaps for women’s participation in key phases of crisis, peace and security, and development by improving the timeliness, </w:t>
      </w:r>
      <w:r w:rsidR="00074697" w:rsidRPr="002178D9">
        <w:rPr>
          <w:rFonts w:ascii="Calibri" w:hAnsi="Calibri" w:cs="Arial"/>
        </w:rPr>
        <w:t>predictability,</w:t>
      </w:r>
      <w:r w:rsidRPr="002178D9">
        <w:rPr>
          <w:rFonts w:ascii="Calibri" w:hAnsi="Calibri" w:cs="Arial"/>
        </w:rPr>
        <w:t xml:space="preserve"> and flexibility of international assistance. Notably, it will ensure a timely investment in conflict prevention after receipt of early warning signals from women and will accelerate the dispersal of development assistance after successful peace negotiations. I</w:t>
      </w:r>
      <w:r w:rsidRPr="002178D9">
        <w:rPr>
          <w:rFonts w:ascii="Calibri" w:hAnsi="Calibri" w:cs="Calibri"/>
          <w:lang w:eastAsia="en-GB"/>
        </w:rPr>
        <w:t xml:space="preserve">t recognizes that peace cannot be created nor sustained without investment in civil society organizations. Therefore, the WPHF </w:t>
      </w:r>
      <w:r w:rsidRPr="002178D9">
        <w:rPr>
          <w:rFonts w:ascii="Calibri" w:hAnsi="Calibri" w:cs="Arial"/>
        </w:rPr>
        <w:t>invests</w:t>
      </w:r>
      <w:r w:rsidRPr="002178D9">
        <w:rPr>
          <w:rFonts w:ascii="Calibri" w:hAnsi="Calibri" w:cs="Calibri"/>
          <w:lang w:eastAsia="en-GB"/>
        </w:rPr>
        <w:t xml:space="preserve"> in strengthening civil society organizations, particularly in grassroots women’s organizations, with the required financial and </w:t>
      </w:r>
      <w:r w:rsidRPr="002178D9">
        <w:rPr>
          <w:rFonts w:ascii="Calibri" w:hAnsi="Calibri" w:cs="Arial"/>
        </w:rPr>
        <w:t>technical support.</w:t>
      </w:r>
    </w:p>
    <w:p w14:paraId="655558B3" w14:textId="77777777" w:rsidR="00306EEB" w:rsidRPr="002178D9" w:rsidRDefault="00306EEB" w:rsidP="00306EEB">
      <w:pPr>
        <w:spacing w:after="0" w:line="240" w:lineRule="auto"/>
        <w:jc w:val="both"/>
        <w:rPr>
          <w:rFonts w:ascii="Calibri" w:hAnsi="Calibri" w:cs="Arial"/>
        </w:rPr>
      </w:pPr>
    </w:p>
    <w:p w14:paraId="1638AE29" w14:textId="34E6F8AC" w:rsidR="00306EEB" w:rsidRPr="002178D9" w:rsidRDefault="00306EEB" w:rsidP="00306EEB">
      <w:pPr>
        <w:spacing w:after="0" w:line="240" w:lineRule="auto"/>
        <w:jc w:val="both"/>
      </w:pPr>
      <w:r w:rsidRPr="002178D9">
        <w:rPr>
          <w:rFonts w:ascii="Calibri" w:hAnsi="Calibri"/>
        </w:rPr>
        <w:t xml:space="preserve">The overall goal of the WPHF’s theory of change is to </w:t>
      </w:r>
      <w:r w:rsidR="14A9769D" w:rsidRPr="002178D9">
        <w:rPr>
          <w:rFonts w:ascii="Calibri" w:hAnsi="Calibri"/>
        </w:rPr>
        <w:t>contribute to</w:t>
      </w:r>
      <w:r w:rsidRPr="002178D9">
        <w:rPr>
          <w:rFonts w:ascii="Calibri" w:hAnsi="Calibri"/>
        </w:rPr>
        <w:t xml:space="preserve"> </w:t>
      </w:r>
      <w:r w:rsidRPr="002178D9">
        <w:rPr>
          <w:rFonts w:ascii="Calibri" w:hAnsi="Calibri"/>
          <w:b/>
          <w:bCs/>
        </w:rPr>
        <w:t>peaceful and gender equal societies</w:t>
      </w:r>
      <w:r w:rsidRPr="002178D9">
        <w:rPr>
          <w:rFonts w:ascii="Calibri" w:hAnsi="Calibri"/>
        </w:rPr>
        <w:t>. Achievement of this goal will require that women are empowered to participate in, contribute to, and benefit from conflict prevention, crisis response, peacebuilding, and recovery.</w:t>
      </w:r>
      <w:r w:rsidRPr="002178D9">
        <w:t xml:space="preserve"> Since its launch in 2016, WPHF has been supporting over </w:t>
      </w:r>
      <w:r w:rsidR="005E35D5" w:rsidRPr="002178D9">
        <w:t xml:space="preserve">200 </w:t>
      </w:r>
      <w:r w:rsidRPr="002178D9">
        <w:t xml:space="preserve">civil society organizations and is present in </w:t>
      </w:r>
      <w:r w:rsidR="005E35D5" w:rsidRPr="002178D9">
        <w:t xml:space="preserve">20 </w:t>
      </w:r>
      <w:r w:rsidRPr="002178D9">
        <w:t>countries or group of countries.</w:t>
      </w:r>
    </w:p>
    <w:p w14:paraId="177E25C0" w14:textId="77777777" w:rsidR="00306EEB" w:rsidRPr="002178D9" w:rsidRDefault="00306EEB" w:rsidP="00306EEB">
      <w:pPr>
        <w:pStyle w:val="ListParagraph"/>
        <w:spacing w:after="0" w:line="240" w:lineRule="auto"/>
        <w:jc w:val="both"/>
        <w:rPr>
          <w:rFonts w:ascii="Calibri" w:hAnsi="Calibri" w:cs="Calibri"/>
          <w:b/>
        </w:rPr>
      </w:pPr>
    </w:p>
    <w:p w14:paraId="4E7EAE63" w14:textId="5638A06A" w:rsidR="00081D3D" w:rsidRPr="002178D9" w:rsidRDefault="00306EEB" w:rsidP="007D20AA">
      <w:pPr>
        <w:spacing w:after="0" w:line="240" w:lineRule="auto"/>
        <w:jc w:val="both"/>
        <w:rPr>
          <w:rFonts w:ascii="Calibri" w:hAnsi="Calibri" w:cs="Calibri"/>
        </w:rPr>
      </w:pPr>
      <w:r w:rsidRPr="002178D9">
        <w:rPr>
          <w:rFonts w:ascii="Calibri" w:hAnsi="Calibri" w:cs="Calibri"/>
        </w:rPr>
        <w:t xml:space="preserve">The WPHF is governed by a Funding Board at the global level, which is comprised of four UN entities (currently UN Women, UNDP, UNFPA and PBSO), four donor Member States (currently Germany, </w:t>
      </w:r>
      <w:r w:rsidR="00B46904" w:rsidRPr="002178D9">
        <w:rPr>
          <w:rFonts w:ascii="Calibri" w:hAnsi="Calibri" w:cs="Calibri"/>
        </w:rPr>
        <w:t>Austria</w:t>
      </w:r>
      <w:r w:rsidRPr="002178D9">
        <w:rPr>
          <w:rFonts w:ascii="Calibri" w:hAnsi="Calibri" w:cs="Calibri"/>
        </w:rPr>
        <w:t xml:space="preserve">, the European Commission and Canada), as well as 4 Civil Society Organizations (currently International Civil Society Action Network on women’s rights, peace and security (ICAN), Global Partnership for the Prevention of Armed Conflict (GPPAC), </w:t>
      </w:r>
      <w:r w:rsidR="00B46904" w:rsidRPr="002178D9">
        <w:rPr>
          <w:rFonts w:ascii="Calibri" w:hAnsi="Calibri" w:cs="Calibri"/>
        </w:rPr>
        <w:t>Action Aid and Women Refugee Commission</w:t>
      </w:r>
      <w:r w:rsidRPr="002178D9">
        <w:rPr>
          <w:rFonts w:ascii="Calibri" w:hAnsi="Calibri" w:cs="Calibri"/>
        </w:rPr>
        <w:t>). UN Women acts as the WPHF’s Technical Secretariat at the global level. UN Women also acts as Management Entity for civil society organizations where UN Women has a country presence.</w:t>
      </w:r>
    </w:p>
    <w:p w14:paraId="5FEE39AE" w14:textId="127F6B58" w:rsidR="00473813" w:rsidRPr="002178D9" w:rsidRDefault="00473813" w:rsidP="00BA6C90">
      <w:pPr>
        <w:spacing w:after="0" w:line="240" w:lineRule="auto"/>
        <w:jc w:val="both"/>
        <w:rPr>
          <w:rFonts w:ascii="Calibri" w:hAnsi="Calibri" w:cs="Calibri"/>
        </w:rPr>
      </w:pPr>
    </w:p>
    <w:p w14:paraId="3D45B81B" w14:textId="4F6DB27F" w:rsidR="00473813" w:rsidRPr="002178D9" w:rsidRDefault="00473813" w:rsidP="00BA6C90">
      <w:pPr>
        <w:spacing w:after="0" w:line="240" w:lineRule="auto"/>
        <w:jc w:val="both"/>
      </w:pPr>
    </w:p>
    <w:p w14:paraId="0D2E132B" w14:textId="77777777" w:rsidR="007D20AA" w:rsidRPr="002178D9" w:rsidRDefault="007D20AA" w:rsidP="007D20AA">
      <w:pPr>
        <w:pStyle w:val="ListParagraph"/>
        <w:numPr>
          <w:ilvl w:val="0"/>
          <w:numId w:val="1"/>
        </w:numPr>
        <w:spacing w:after="0" w:line="240" w:lineRule="auto"/>
        <w:ind w:left="360"/>
        <w:rPr>
          <w:rFonts w:ascii="Calibri" w:hAnsi="Calibri" w:cs="Calibri"/>
          <w:b/>
        </w:rPr>
      </w:pPr>
      <w:r w:rsidRPr="002178D9">
        <w:rPr>
          <w:rFonts w:ascii="Calibri" w:hAnsi="Calibri" w:cs="Calibri"/>
          <w:b/>
        </w:rPr>
        <w:t>About the Spotlight Initiative</w:t>
      </w:r>
    </w:p>
    <w:p w14:paraId="3BA2074D" w14:textId="77777777" w:rsidR="007D20AA" w:rsidRPr="002178D9" w:rsidRDefault="007D20AA" w:rsidP="007D20AA">
      <w:pPr>
        <w:pStyle w:val="NoSpacing"/>
        <w:jc w:val="both"/>
        <w:rPr>
          <w:rFonts w:ascii="Calibri" w:hAnsi="Calibri" w:cs="Calibri"/>
        </w:rPr>
      </w:pPr>
      <w:r w:rsidRPr="002178D9">
        <w:rPr>
          <w:rFonts w:ascii="Calibri" w:hAnsi="Calibri" w:cs="Calibri"/>
        </w:rPr>
        <w:t>The Spotlight Initiative is a global partnership between the EU and the United Nations which deploys targeted, large-scale investments in Asia, Africa, Latin America, the Pacific and the Caribbean, aimed at eliminating violence against women and girls, which is seen as a major obstacle to the fulfilment of women’s and girls’ human rights and to the achievement of the 2030 Agenda for Sustainable Development.</w:t>
      </w:r>
    </w:p>
    <w:p w14:paraId="51FEF508" w14:textId="77777777" w:rsidR="007D20AA" w:rsidRPr="002178D9" w:rsidRDefault="007D20AA" w:rsidP="007D20AA">
      <w:pPr>
        <w:pStyle w:val="NoSpacing"/>
        <w:jc w:val="both"/>
        <w:rPr>
          <w:rFonts w:ascii="Calibri" w:hAnsi="Calibri" w:cs="Calibri"/>
        </w:rPr>
      </w:pPr>
    </w:p>
    <w:p w14:paraId="3D0B0880" w14:textId="77777777" w:rsidR="007D20AA" w:rsidRPr="002178D9" w:rsidRDefault="007D20AA" w:rsidP="007D20AA">
      <w:pPr>
        <w:pStyle w:val="NoSpacing"/>
        <w:jc w:val="both"/>
        <w:rPr>
          <w:rFonts w:ascii="Calibri" w:hAnsi="Calibri" w:cs="Calibri"/>
        </w:rPr>
      </w:pPr>
      <w:r w:rsidRPr="002178D9">
        <w:rPr>
          <w:rFonts w:ascii="Calibri" w:hAnsi="Calibri" w:cs="Calibri"/>
        </w:rPr>
        <w:t xml:space="preserve">The Spotlight Initiative intends to bring the issue of ending violence against women and girls at the front and </w:t>
      </w:r>
      <w:proofErr w:type="spellStart"/>
      <w:r w:rsidRPr="002178D9">
        <w:rPr>
          <w:rFonts w:ascii="Calibri" w:hAnsi="Calibri" w:cs="Calibri"/>
        </w:rPr>
        <w:t>centre</w:t>
      </w:r>
      <w:proofErr w:type="spellEnd"/>
      <w:r w:rsidRPr="002178D9">
        <w:rPr>
          <w:rFonts w:ascii="Calibri" w:hAnsi="Calibri" w:cs="Calibri"/>
        </w:rPr>
        <w:t xml:space="preserve"> of efforts to achieve gender equality and women’s empowerment, in line with the 2030 Agenda for Sustainable Development.</w:t>
      </w:r>
      <w:r w:rsidRPr="002178D9">
        <w:rPr>
          <w:rStyle w:val="FootnoteReference"/>
          <w:rFonts w:ascii="Calibri" w:hAnsi="Calibri" w:cs="Calibri"/>
        </w:rPr>
        <w:footnoteReference w:id="1"/>
      </w:r>
      <w:r w:rsidRPr="002178D9">
        <w:rPr>
          <w:rFonts w:ascii="Calibri" w:hAnsi="Calibri" w:cs="Calibri"/>
        </w:rPr>
        <w:t xml:space="preserve"> The Initiative will leverage multi-stakeholder partnerships, galvanize political commitments at the highest levels and contribute to achieving the SDGs (Goals 5 and 16 in particular). </w:t>
      </w:r>
    </w:p>
    <w:p w14:paraId="6B51F31C" w14:textId="77777777" w:rsidR="007D20AA" w:rsidRPr="002178D9" w:rsidRDefault="007D20AA" w:rsidP="007D20AA">
      <w:pPr>
        <w:pStyle w:val="Body1"/>
        <w:jc w:val="both"/>
        <w:rPr>
          <w:rFonts w:ascii="Calibri" w:hAnsi="Calibri" w:cs="Calibri"/>
          <w:sz w:val="22"/>
          <w:szCs w:val="22"/>
        </w:rPr>
      </w:pPr>
    </w:p>
    <w:p w14:paraId="41E8667E" w14:textId="77777777" w:rsidR="007D20AA" w:rsidRPr="002178D9" w:rsidRDefault="007D20AA" w:rsidP="007D20AA">
      <w:pPr>
        <w:pStyle w:val="Body1"/>
        <w:jc w:val="both"/>
        <w:rPr>
          <w:rFonts w:ascii="Calibri" w:hAnsi="Calibri" w:cs="Calibri"/>
          <w:sz w:val="22"/>
          <w:szCs w:val="22"/>
        </w:rPr>
      </w:pPr>
      <w:r w:rsidRPr="002178D9">
        <w:rPr>
          <w:rFonts w:ascii="Calibri" w:hAnsi="Calibri" w:cs="Calibri"/>
          <w:sz w:val="22"/>
          <w:szCs w:val="22"/>
        </w:rPr>
        <w:t xml:space="preserve">The Initiative’s </w:t>
      </w:r>
      <w:r w:rsidRPr="002178D9">
        <w:rPr>
          <w:rFonts w:ascii="Calibri" w:hAnsi="Calibri" w:cs="Calibri"/>
          <w:b/>
          <w:sz w:val="22"/>
          <w:szCs w:val="22"/>
        </w:rPr>
        <w:t>Global Theory of Change</w:t>
      </w:r>
      <w:r w:rsidRPr="002178D9">
        <w:rPr>
          <w:rFonts w:ascii="Calibri" w:hAnsi="Calibri" w:cs="Calibri"/>
          <w:sz w:val="22"/>
          <w:szCs w:val="22"/>
        </w:rPr>
        <w:t xml:space="preserve"> entails a comprehensive approach to drive transformative change through the following six Outcomes:</w:t>
      </w:r>
    </w:p>
    <w:p w14:paraId="184A5CAD" w14:textId="77777777" w:rsidR="007D20AA" w:rsidRPr="002178D9" w:rsidRDefault="007D20AA" w:rsidP="007D20AA">
      <w:pPr>
        <w:pStyle w:val="Body1"/>
        <w:numPr>
          <w:ilvl w:val="0"/>
          <w:numId w:val="39"/>
        </w:numPr>
        <w:jc w:val="both"/>
        <w:rPr>
          <w:rFonts w:ascii="Calibri" w:hAnsi="Calibri" w:cs="Calibri"/>
          <w:sz w:val="22"/>
          <w:szCs w:val="22"/>
        </w:rPr>
      </w:pPr>
      <w:r w:rsidRPr="002178D9">
        <w:rPr>
          <w:rFonts w:ascii="Calibri" w:hAnsi="Calibri" w:cs="Calibri"/>
          <w:sz w:val="22"/>
          <w:szCs w:val="22"/>
        </w:rPr>
        <w:t>Outcome 1: Enacting and strengthening legislative and policy frameworks</w:t>
      </w:r>
    </w:p>
    <w:p w14:paraId="77D21144" w14:textId="77777777" w:rsidR="007D20AA" w:rsidRPr="002178D9" w:rsidRDefault="007D20AA" w:rsidP="007D20AA">
      <w:pPr>
        <w:pStyle w:val="Body1"/>
        <w:numPr>
          <w:ilvl w:val="0"/>
          <w:numId w:val="39"/>
        </w:numPr>
        <w:jc w:val="both"/>
        <w:rPr>
          <w:rFonts w:ascii="Calibri" w:hAnsi="Calibri" w:cs="Calibri"/>
          <w:sz w:val="22"/>
          <w:szCs w:val="22"/>
        </w:rPr>
      </w:pPr>
      <w:r w:rsidRPr="002178D9">
        <w:rPr>
          <w:rFonts w:ascii="Calibri" w:hAnsi="Calibri" w:cs="Calibri"/>
          <w:sz w:val="22"/>
          <w:szCs w:val="22"/>
        </w:rPr>
        <w:t>Outcome 2: Building gender-responsive national and sub-national systems and institutions</w:t>
      </w:r>
    </w:p>
    <w:p w14:paraId="50ED554A" w14:textId="77777777" w:rsidR="007D20AA" w:rsidRPr="002178D9" w:rsidRDefault="007D20AA" w:rsidP="007D20AA">
      <w:pPr>
        <w:pStyle w:val="Body1"/>
        <w:numPr>
          <w:ilvl w:val="0"/>
          <w:numId w:val="39"/>
        </w:numPr>
        <w:jc w:val="both"/>
        <w:rPr>
          <w:rFonts w:ascii="Calibri" w:hAnsi="Calibri" w:cs="Calibri"/>
          <w:sz w:val="22"/>
          <w:szCs w:val="22"/>
        </w:rPr>
      </w:pPr>
      <w:r w:rsidRPr="002178D9">
        <w:rPr>
          <w:rFonts w:ascii="Calibri" w:hAnsi="Calibri" w:cs="Calibri"/>
          <w:sz w:val="22"/>
          <w:szCs w:val="22"/>
        </w:rPr>
        <w:t>Outcome 3: Supporting evidence-based prevention programmes to promote gender equitable social norms, attitudes, and behaviors</w:t>
      </w:r>
    </w:p>
    <w:p w14:paraId="3BEDCDD3" w14:textId="77777777" w:rsidR="007D20AA" w:rsidRPr="002178D9" w:rsidRDefault="007D20AA" w:rsidP="007D20AA">
      <w:pPr>
        <w:pStyle w:val="Body1"/>
        <w:numPr>
          <w:ilvl w:val="0"/>
          <w:numId w:val="39"/>
        </w:numPr>
        <w:jc w:val="both"/>
        <w:rPr>
          <w:rFonts w:ascii="Calibri" w:hAnsi="Calibri" w:cs="Calibri"/>
          <w:sz w:val="22"/>
          <w:szCs w:val="22"/>
        </w:rPr>
      </w:pPr>
      <w:r w:rsidRPr="002178D9">
        <w:rPr>
          <w:rFonts w:ascii="Calibri" w:hAnsi="Calibri" w:cs="Calibri"/>
          <w:sz w:val="22"/>
          <w:szCs w:val="22"/>
        </w:rPr>
        <w:t>Outcome 4: Establishing and strengthening available, accessible, acceptable, and quality essential services</w:t>
      </w:r>
    </w:p>
    <w:p w14:paraId="2CFDFE9B" w14:textId="77777777" w:rsidR="007D20AA" w:rsidRPr="002178D9" w:rsidRDefault="007D20AA" w:rsidP="007D20AA">
      <w:pPr>
        <w:pStyle w:val="Body1"/>
        <w:numPr>
          <w:ilvl w:val="0"/>
          <w:numId w:val="39"/>
        </w:numPr>
        <w:jc w:val="both"/>
        <w:rPr>
          <w:rFonts w:ascii="Calibri" w:hAnsi="Calibri" w:cs="Calibri"/>
          <w:sz w:val="22"/>
          <w:szCs w:val="22"/>
        </w:rPr>
      </w:pPr>
      <w:r w:rsidRPr="002178D9">
        <w:rPr>
          <w:rFonts w:ascii="Calibri" w:hAnsi="Calibri" w:cs="Calibri"/>
          <w:sz w:val="22"/>
          <w:szCs w:val="22"/>
        </w:rPr>
        <w:t>Outcome 5: Ensuring quality, disaggregated and globally comparable data</w:t>
      </w:r>
    </w:p>
    <w:p w14:paraId="271D49D1" w14:textId="77777777" w:rsidR="007D20AA" w:rsidRPr="002178D9" w:rsidRDefault="007D20AA" w:rsidP="007D20AA">
      <w:pPr>
        <w:pStyle w:val="Body1"/>
        <w:numPr>
          <w:ilvl w:val="0"/>
          <w:numId w:val="39"/>
        </w:numPr>
        <w:jc w:val="both"/>
        <w:rPr>
          <w:rFonts w:ascii="Calibri" w:hAnsi="Calibri" w:cs="Calibri"/>
          <w:sz w:val="22"/>
          <w:szCs w:val="22"/>
        </w:rPr>
      </w:pPr>
      <w:r w:rsidRPr="002178D9">
        <w:rPr>
          <w:rFonts w:ascii="Calibri" w:hAnsi="Calibri" w:cs="Calibri"/>
          <w:sz w:val="22"/>
          <w:szCs w:val="22"/>
        </w:rPr>
        <w:t>Outcome 6: Strengthening and supporting women's rights groups and autonomous civil society organizations</w:t>
      </w:r>
    </w:p>
    <w:p w14:paraId="29A591AC" w14:textId="77777777" w:rsidR="007D20AA" w:rsidRPr="002178D9" w:rsidRDefault="007D20AA" w:rsidP="007D20AA">
      <w:pPr>
        <w:spacing w:after="0" w:line="240" w:lineRule="auto"/>
        <w:jc w:val="both"/>
        <w:rPr>
          <w:rFonts w:ascii="Calibri" w:hAnsi="Calibri" w:cs="Calibri"/>
        </w:rPr>
      </w:pPr>
    </w:p>
    <w:p w14:paraId="4FD2368B" w14:textId="0BBF36F1" w:rsidR="007D20AA" w:rsidRPr="002178D9" w:rsidRDefault="007D20AA" w:rsidP="007D20AA">
      <w:pPr>
        <w:spacing w:after="0" w:line="240" w:lineRule="auto"/>
        <w:jc w:val="both"/>
        <w:rPr>
          <w:rFonts w:cstheme="minorHAnsi"/>
          <w:b/>
          <w:noProof/>
          <w:u w:color="ED7D31"/>
        </w:rPr>
      </w:pPr>
      <w:r w:rsidRPr="002178D9">
        <w:rPr>
          <w:rFonts w:ascii="Calibri" w:hAnsi="Calibri" w:cs="Calibri"/>
        </w:rPr>
        <w:t xml:space="preserve">The Global Theory of Change is guided by the SDGs and underpinned by a human rights-based approach; the cross-cutting principles of civil society engagement and participation; national ownership and </w:t>
      </w:r>
      <w:r w:rsidRPr="002178D9">
        <w:rPr>
          <w:rFonts w:ascii="Calibri" w:hAnsi="Calibri" w:cs="Calibri"/>
          <w:i/>
        </w:rPr>
        <w:t>leaving no one behind</w:t>
      </w:r>
      <w:r w:rsidRPr="002178D9">
        <w:rPr>
          <w:rFonts w:ascii="Calibri" w:hAnsi="Calibri" w:cs="Calibri"/>
        </w:rPr>
        <w:t>. In terms of leaving no one behind, the Initiative aims to reach those women and girls who are furthest</w:t>
      </w:r>
      <w:r w:rsidRPr="002178D9">
        <w:t xml:space="preserve"> behind, most </w:t>
      </w:r>
      <w:r w:rsidR="00BA2D95" w:rsidRPr="002178D9">
        <w:t>marginalized,</w:t>
      </w:r>
      <w:r w:rsidRPr="002178D9">
        <w:t xml:space="preserve"> and subject to multiple and intersecting forms of discrimination (including indigenous women, women living with disabilities, elderly women and women in geographically hard to reach areas). </w:t>
      </w:r>
    </w:p>
    <w:p w14:paraId="4E836224" w14:textId="77777777" w:rsidR="007D20AA" w:rsidRPr="002178D9" w:rsidRDefault="007D20AA" w:rsidP="007D20AA">
      <w:pPr>
        <w:spacing w:after="0" w:line="240" w:lineRule="auto"/>
        <w:jc w:val="both"/>
        <w:rPr>
          <w:b/>
        </w:rPr>
      </w:pPr>
    </w:p>
    <w:p w14:paraId="2158CB48" w14:textId="77777777" w:rsidR="007D20AA" w:rsidRPr="002178D9" w:rsidRDefault="007D20AA" w:rsidP="007D20AA">
      <w:pPr>
        <w:pStyle w:val="ListParagraph"/>
        <w:numPr>
          <w:ilvl w:val="0"/>
          <w:numId w:val="1"/>
        </w:numPr>
        <w:spacing w:after="0" w:line="240" w:lineRule="auto"/>
        <w:ind w:left="360"/>
        <w:rPr>
          <w:b/>
        </w:rPr>
      </w:pPr>
      <w:r w:rsidRPr="002178D9">
        <w:rPr>
          <w:b/>
        </w:rPr>
        <w:t>WPHF and Spotlight Initiative Partnership</w:t>
      </w:r>
    </w:p>
    <w:p w14:paraId="25021449" w14:textId="41BCAC27" w:rsidR="007D20AA" w:rsidRPr="002178D9" w:rsidRDefault="007D20AA" w:rsidP="00BA2D95">
      <w:pPr>
        <w:spacing w:line="240" w:lineRule="auto"/>
        <w:jc w:val="both"/>
        <w:rPr>
          <w:rFonts w:cstheme="minorHAnsi"/>
          <w:color w:val="000000"/>
          <w:lang w:val="en-GB"/>
        </w:rPr>
      </w:pPr>
      <w:r w:rsidRPr="002178D9">
        <w:rPr>
          <w:rFonts w:cstheme="minorHAnsi"/>
          <w:color w:val="000000"/>
          <w:lang w:val="en-GB"/>
        </w:rPr>
        <w:t xml:space="preserve">The partnership between the Women’s Peace and Humanitarian Fund (WPHF) and the Spotlight Initiative aims to channel funding to civil society organizations working on eliminating violence against women and girls (EVAWG) in conflict-affected and humanitarian settings. The partnership focuses on Outcome 6 of Spotlight Initiative’s Regional Result Framework (strengthening CSOs and </w:t>
      </w:r>
      <w:r w:rsidR="0084592D">
        <w:rPr>
          <w:rFonts w:cstheme="minorHAnsi"/>
          <w:color w:val="000000"/>
          <w:lang w:val="en-GB"/>
        </w:rPr>
        <w:t>supporting</w:t>
      </w:r>
      <w:r w:rsidR="0084592D" w:rsidRPr="002178D9">
        <w:rPr>
          <w:rFonts w:cstheme="minorHAnsi"/>
          <w:color w:val="000000"/>
          <w:lang w:val="en-GB"/>
        </w:rPr>
        <w:t xml:space="preserve"> </w:t>
      </w:r>
      <w:r w:rsidRPr="002178D9">
        <w:rPr>
          <w:rFonts w:cstheme="minorHAnsi"/>
          <w:color w:val="000000"/>
          <w:lang w:val="en-GB"/>
        </w:rPr>
        <w:t xml:space="preserve">women’s movements) and on WPHF’s </w:t>
      </w:r>
      <w:r w:rsidR="00BA2D95" w:rsidRPr="002178D9">
        <w:rPr>
          <w:rFonts w:cstheme="minorHAnsi"/>
          <w:color w:val="000000"/>
          <w:lang w:val="en-GB"/>
        </w:rPr>
        <w:t xml:space="preserve">Impact Area </w:t>
      </w:r>
      <w:r w:rsidRPr="002178D9">
        <w:rPr>
          <w:rFonts w:cstheme="minorHAnsi"/>
          <w:color w:val="000000"/>
          <w:lang w:val="en-GB"/>
        </w:rPr>
        <w:t>5 (Protection of women</w:t>
      </w:r>
      <w:r w:rsidR="00BA2D95" w:rsidRPr="002178D9">
        <w:rPr>
          <w:rFonts w:cstheme="minorHAnsi"/>
          <w:color w:val="000000"/>
          <w:lang w:val="en-GB"/>
        </w:rPr>
        <w:t xml:space="preserve"> and </w:t>
      </w:r>
      <w:r w:rsidR="000526F2" w:rsidRPr="002178D9">
        <w:rPr>
          <w:rFonts w:cstheme="minorHAnsi"/>
          <w:color w:val="000000"/>
          <w:lang w:val="en-GB"/>
        </w:rPr>
        <w:t>girls’</w:t>
      </w:r>
      <w:r w:rsidRPr="002178D9">
        <w:rPr>
          <w:rFonts w:cstheme="minorHAnsi"/>
          <w:color w:val="000000"/>
          <w:lang w:val="en-GB"/>
        </w:rPr>
        <w:t xml:space="preserve"> safety and rights). </w:t>
      </w:r>
    </w:p>
    <w:p w14:paraId="5BD10B49" w14:textId="69FB3B70" w:rsidR="007D20AA" w:rsidRPr="002178D9" w:rsidRDefault="000526F2" w:rsidP="00BA2D95">
      <w:pPr>
        <w:spacing w:line="240" w:lineRule="auto"/>
        <w:jc w:val="both"/>
        <w:rPr>
          <w:rFonts w:cstheme="minorHAnsi"/>
          <w:color w:val="000000"/>
          <w:lang w:val="en-GB"/>
        </w:rPr>
      </w:pPr>
      <w:r w:rsidRPr="002178D9">
        <w:rPr>
          <w:rFonts w:cstheme="minorHAnsi"/>
          <w:color w:val="000000"/>
          <w:lang w:val="en-GB"/>
        </w:rPr>
        <w:t xml:space="preserve">Since 2019, </w:t>
      </w:r>
      <w:r w:rsidR="007D20AA" w:rsidRPr="002178D9">
        <w:rPr>
          <w:rFonts w:cstheme="minorHAnsi"/>
          <w:color w:val="000000"/>
          <w:lang w:val="en-GB"/>
        </w:rPr>
        <w:t xml:space="preserve">the partnership </w:t>
      </w:r>
      <w:r w:rsidRPr="002178D9">
        <w:rPr>
          <w:rFonts w:cstheme="minorHAnsi"/>
          <w:color w:val="000000"/>
          <w:lang w:val="en-GB"/>
        </w:rPr>
        <w:t xml:space="preserve">has </w:t>
      </w:r>
      <w:r w:rsidR="007D20AA" w:rsidRPr="002178D9">
        <w:rPr>
          <w:rFonts w:cstheme="minorHAnsi"/>
          <w:color w:val="000000"/>
          <w:lang w:val="en-GB"/>
        </w:rPr>
        <w:t xml:space="preserve">covered </w:t>
      </w:r>
      <w:r w:rsidRPr="002178D9">
        <w:rPr>
          <w:rFonts w:cstheme="minorHAnsi"/>
          <w:color w:val="000000"/>
          <w:lang w:val="en-GB"/>
        </w:rPr>
        <w:t>t</w:t>
      </w:r>
      <w:r w:rsidR="007D20AA" w:rsidRPr="002178D9">
        <w:rPr>
          <w:rFonts w:cstheme="minorHAnsi"/>
          <w:color w:val="000000"/>
          <w:lang w:val="en-GB"/>
        </w:rPr>
        <w:t>he D.R.C, Liberia, Malawi, Nigeria, and Uganda</w:t>
      </w:r>
      <w:r w:rsidR="00611692" w:rsidRPr="002178D9">
        <w:rPr>
          <w:rFonts w:cstheme="minorHAnsi"/>
          <w:color w:val="000000"/>
          <w:lang w:val="en-GB"/>
        </w:rPr>
        <w:t xml:space="preserve">, Afghanistan, Haiti and </w:t>
      </w:r>
      <w:r w:rsidR="007D20AA" w:rsidRPr="002178D9">
        <w:rPr>
          <w:rFonts w:cstheme="minorHAnsi"/>
          <w:color w:val="000000"/>
          <w:lang w:val="en-GB"/>
        </w:rPr>
        <w:t>Papua New Guinea</w:t>
      </w:r>
      <w:r w:rsidR="0084592D">
        <w:rPr>
          <w:rFonts w:cstheme="minorHAnsi"/>
          <w:color w:val="000000"/>
          <w:lang w:val="en-GB"/>
        </w:rPr>
        <w:t xml:space="preserve"> (PNG)</w:t>
      </w:r>
      <w:r w:rsidR="00611692" w:rsidRPr="002178D9">
        <w:rPr>
          <w:rFonts w:cstheme="minorHAnsi"/>
          <w:color w:val="000000"/>
          <w:lang w:val="en-GB"/>
        </w:rPr>
        <w:t>.</w:t>
      </w:r>
      <w:r w:rsidR="007D20AA" w:rsidRPr="002178D9">
        <w:rPr>
          <w:rFonts w:cstheme="minorHAnsi"/>
          <w:color w:val="000000"/>
          <w:lang w:val="en-GB"/>
        </w:rPr>
        <w:t xml:space="preserve"> </w:t>
      </w:r>
    </w:p>
    <w:p w14:paraId="3B7C288D" w14:textId="77777777" w:rsidR="008A5B21" w:rsidRPr="002178D9" w:rsidRDefault="008A5B21" w:rsidP="00BA6C90">
      <w:pPr>
        <w:spacing w:after="0" w:line="240" w:lineRule="auto"/>
        <w:jc w:val="both"/>
      </w:pPr>
    </w:p>
    <w:p w14:paraId="12D50632" w14:textId="7D26B951" w:rsidR="00A76801" w:rsidRPr="002178D9" w:rsidRDefault="002D6743" w:rsidP="00A76801">
      <w:pPr>
        <w:pStyle w:val="ListParagraph"/>
        <w:numPr>
          <w:ilvl w:val="0"/>
          <w:numId w:val="1"/>
        </w:numPr>
        <w:spacing w:after="0" w:line="240" w:lineRule="auto"/>
        <w:ind w:left="360"/>
        <w:rPr>
          <w:b/>
        </w:rPr>
      </w:pPr>
      <w:r w:rsidRPr="002178D9">
        <w:rPr>
          <w:b/>
        </w:rPr>
        <w:t xml:space="preserve">About </w:t>
      </w:r>
      <w:r w:rsidR="00A007EC" w:rsidRPr="002178D9">
        <w:rPr>
          <w:b/>
        </w:rPr>
        <w:t xml:space="preserve">this partnership in </w:t>
      </w:r>
      <w:r w:rsidR="00611692" w:rsidRPr="002178D9">
        <w:rPr>
          <w:b/>
        </w:rPr>
        <w:t>P</w:t>
      </w:r>
      <w:r w:rsidR="0084592D">
        <w:rPr>
          <w:b/>
        </w:rPr>
        <w:t xml:space="preserve">apua </w:t>
      </w:r>
      <w:r w:rsidR="00611692" w:rsidRPr="002178D9">
        <w:rPr>
          <w:b/>
        </w:rPr>
        <w:t>N</w:t>
      </w:r>
      <w:r w:rsidR="0084592D">
        <w:rPr>
          <w:b/>
        </w:rPr>
        <w:t xml:space="preserve">ew </w:t>
      </w:r>
      <w:r w:rsidR="00611692" w:rsidRPr="002178D9">
        <w:rPr>
          <w:b/>
        </w:rPr>
        <w:t>G</w:t>
      </w:r>
      <w:r w:rsidR="0084592D">
        <w:rPr>
          <w:b/>
        </w:rPr>
        <w:t>uinea</w:t>
      </w:r>
      <w:r w:rsidR="00611692" w:rsidRPr="002178D9">
        <w:rPr>
          <w:b/>
        </w:rPr>
        <w:t xml:space="preserve"> </w:t>
      </w:r>
    </w:p>
    <w:p w14:paraId="19C9E4EC" w14:textId="126BDF10" w:rsidR="00D307E4" w:rsidRPr="002178D9" w:rsidRDefault="00D9537D" w:rsidP="00EB1099">
      <w:pPr>
        <w:spacing w:after="0" w:line="240" w:lineRule="auto"/>
        <w:jc w:val="both"/>
        <w:rPr>
          <w:bCs/>
        </w:rPr>
      </w:pPr>
      <w:r w:rsidRPr="002178D9">
        <w:rPr>
          <w:bCs/>
        </w:rPr>
        <w:lastRenderedPageBreak/>
        <w:t>UN Women PNG C</w:t>
      </w:r>
      <w:r w:rsidR="001D0AAE">
        <w:rPr>
          <w:bCs/>
        </w:rPr>
        <w:t xml:space="preserve">ountry </w:t>
      </w:r>
      <w:r w:rsidRPr="002178D9">
        <w:rPr>
          <w:bCs/>
        </w:rPr>
        <w:t>O</w:t>
      </w:r>
      <w:r w:rsidR="001D0AAE">
        <w:rPr>
          <w:bCs/>
        </w:rPr>
        <w:t>ffice</w:t>
      </w:r>
      <w:r w:rsidRPr="002178D9">
        <w:rPr>
          <w:bCs/>
        </w:rPr>
        <w:t xml:space="preserve"> currently supports 20 </w:t>
      </w:r>
      <w:r w:rsidR="00081222" w:rsidRPr="002178D9">
        <w:rPr>
          <w:bCs/>
        </w:rPr>
        <w:t>civil society organizations</w:t>
      </w:r>
      <w:r w:rsidR="00F10DC0" w:rsidRPr="002178D9">
        <w:rPr>
          <w:bCs/>
        </w:rPr>
        <w:t xml:space="preserve"> </w:t>
      </w:r>
      <w:r w:rsidR="00A13ECC" w:rsidRPr="002178D9">
        <w:rPr>
          <w:bCs/>
        </w:rPr>
        <w:t>under the Spotlight Initiative</w:t>
      </w:r>
      <w:r w:rsidR="00A65489" w:rsidRPr="002178D9">
        <w:rPr>
          <w:bCs/>
        </w:rPr>
        <w:t xml:space="preserve"> </w:t>
      </w:r>
      <w:r w:rsidR="005C715D" w:rsidRPr="002178D9">
        <w:rPr>
          <w:bCs/>
        </w:rPr>
        <w:t xml:space="preserve">which provides funding </w:t>
      </w:r>
      <w:r w:rsidR="007A762E" w:rsidRPr="002178D9">
        <w:rPr>
          <w:bCs/>
        </w:rPr>
        <w:t>f</w:t>
      </w:r>
      <w:r w:rsidR="005C715D" w:rsidRPr="002178D9">
        <w:rPr>
          <w:bCs/>
        </w:rPr>
        <w:t>ocuse</w:t>
      </w:r>
      <w:r w:rsidR="007A762E" w:rsidRPr="002178D9">
        <w:rPr>
          <w:bCs/>
        </w:rPr>
        <w:t>d</w:t>
      </w:r>
      <w:r w:rsidR="005C715D" w:rsidRPr="002178D9">
        <w:rPr>
          <w:bCs/>
        </w:rPr>
        <w:t xml:space="preserve"> on the protection of women and girls and </w:t>
      </w:r>
      <w:r w:rsidR="001D0AAE">
        <w:rPr>
          <w:bCs/>
        </w:rPr>
        <w:t>supporting</w:t>
      </w:r>
      <w:r w:rsidR="005C715D" w:rsidRPr="002178D9">
        <w:rPr>
          <w:bCs/>
        </w:rPr>
        <w:t xml:space="preserve"> </w:t>
      </w:r>
      <w:r w:rsidR="0084592D">
        <w:rPr>
          <w:bCs/>
        </w:rPr>
        <w:t>women’s rights</w:t>
      </w:r>
      <w:r w:rsidR="005C715D" w:rsidRPr="002178D9">
        <w:rPr>
          <w:bCs/>
        </w:rPr>
        <w:t xml:space="preserve"> movement</w:t>
      </w:r>
      <w:r w:rsidR="0084592D">
        <w:rPr>
          <w:bCs/>
        </w:rPr>
        <w:t>s</w:t>
      </w:r>
      <w:r w:rsidR="005C715D" w:rsidRPr="002178D9">
        <w:rPr>
          <w:bCs/>
        </w:rPr>
        <w:t xml:space="preserve">. </w:t>
      </w:r>
      <w:r w:rsidR="007A762E" w:rsidRPr="002178D9">
        <w:rPr>
          <w:bCs/>
        </w:rPr>
        <w:t xml:space="preserve">Many of the CSOs are small grassroots organizations that have experience working to address violence against women and girls, sorcery related accusation violence and tribal violence within their communities. </w:t>
      </w:r>
      <w:r w:rsidR="00EB1099" w:rsidRPr="002178D9">
        <w:rPr>
          <w:bCs/>
        </w:rPr>
        <w:t xml:space="preserve">They are </w:t>
      </w:r>
      <w:r w:rsidR="007A762E" w:rsidRPr="002178D9">
        <w:rPr>
          <w:bCs/>
        </w:rPr>
        <w:t xml:space="preserve">located </w:t>
      </w:r>
      <w:r w:rsidR="00F10DC0" w:rsidRPr="002178D9">
        <w:rPr>
          <w:bCs/>
        </w:rPr>
        <w:t xml:space="preserve">across different provinces of PNG, </w:t>
      </w:r>
      <w:r w:rsidR="00A13ECC" w:rsidRPr="002178D9">
        <w:rPr>
          <w:bCs/>
        </w:rPr>
        <w:t>often in areas that are difficult to access and with limited or no internet access.</w:t>
      </w:r>
      <w:r w:rsidR="00081222" w:rsidRPr="002178D9">
        <w:rPr>
          <w:bCs/>
        </w:rPr>
        <w:t xml:space="preserve"> </w:t>
      </w:r>
      <w:r w:rsidR="00EB1099" w:rsidRPr="002178D9">
        <w:rPr>
          <w:bCs/>
        </w:rPr>
        <w:t xml:space="preserve">In addition, </w:t>
      </w:r>
      <w:r w:rsidR="005644A3" w:rsidRPr="002178D9">
        <w:rPr>
          <w:bCs/>
        </w:rPr>
        <w:t xml:space="preserve">these organizations have </w:t>
      </w:r>
      <w:r w:rsidR="00B739B5" w:rsidRPr="002178D9">
        <w:rPr>
          <w:bCs/>
        </w:rPr>
        <w:t>limited institutional capacity</w:t>
      </w:r>
      <w:r w:rsidR="00D307E4" w:rsidRPr="002178D9">
        <w:rPr>
          <w:bCs/>
        </w:rPr>
        <w:t xml:space="preserve">, struggle with </w:t>
      </w:r>
      <w:r w:rsidR="00B739B5" w:rsidRPr="002178D9">
        <w:rPr>
          <w:bCs/>
        </w:rPr>
        <w:t xml:space="preserve">results-based management, monitoring and evaluation and need close monitoring and guidance to ensure quality programing and impact. </w:t>
      </w:r>
    </w:p>
    <w:p w14:paraId="755268BC" w14:textId="7588E4C3" w:rsidR="000B243D" w:rsidRPr="002178D9" w:rsidRDefault="000B243D" w:rsidP="00D307E4">
      <w:pPr>
        <w:spacing w:after="0" w:line="240" w:lineRule="auto"/>
        <w:jc w:val="both"/>
        <w:rPr>
          <w:bCs/>
        </w:rPr>
      </w:pPr>
    </w:p>
    <w:p w14:paraId="1FBCFF68" w14:textId="2F48E053" w:rsidR="000B243D" w:rsidRPr="002178D9" w:rsidRDefault="00475B63" w:rsidP="00B03B89">
      <w:pPr>
        <w:spacing w:line="240" w:lineRule="auto"/>
        <w:jc w:val="both"/>
        <w:rPr>
          <w:rFonts w:ascii="Calibri" w:eastAsia="Times New Roman" w:hAnsi="Calibri" w:cs="Calibri"/>
          <w:color w:val="000000" w:themeColor="text1"/>
          <w:lang w:eastAsia="fr-FR"/>
        </w:rPr>
      </w:pPr>
      <w:r>
        <w:rPr>
          <w:bCs/>
        </w:rPr>
        <w:t>T</w:t>
      </w:r>
      <w:r w:rsidR="000B243D" w:rsidRPr="002178D9">
        <w:rPr>
          <w:bCs/>
        </w:rPr>
        <w:t>he Spotlight Initiative has initiated a CSO Capacity Building Hub as one of the programme interventions to engage a</w:t>
      </w:r>
      <w:r w:rsidR="0084592D">
        <w:rPr>
          <w:bCs/>
        </w:rPr>
        <w:t xml:space="preserve"> </w:t>
      </w:r>
      <w:r w:rsidR="00C37A19">
        <w:rPr>
          <w:bCs/>
        </w:rPr>
        <w:t xml:space="preserve">national, </w:t>
      </w:r>
      <w:r w:rsidR="0084592D">
        <w:rPr>
          <w:bCs/>
        </w:rPr>
        <w:t>regional or international</w:t>
      </w:r>
      <w:r w:rsidR="000B243D" w:rsidRPr="002178D9">
        <w:rPr>
          <w:bCs/>
        </w:rPr>
        <w:t xml:space="preserve"> NGO to provide tailormade institutional support to nine CSOs working within the Spotlight </w:t>
      </w:r>
      <w:r w:rsidR="0084592D">
        <w:rPr>
          <w:bCs/>
        </w:rPr>
        <w:t xml:space="preserve">Initiative </w:t>
      </w:r>
      <w:r w:rsidR="000B243D" w:rsidRPr="002178D9">
        <w:rPr>
          <w:bCs/>
        </w:rPr>
        <w:t xml:space="preserve">Programme. The areas of institutional capacity include financial management, monitoring, results-based reporting, feminist, and collective action. </w:t>
      </w:r>
      <w:r w:rsidR="00C97139" w:rsidRPr="002178D9">
        <w:rPr>
          <w:bCs/>
        </w:rPr>
        <w:t>This Hub support will end in December 2021 and cannot absorb additional CSOs.</w:t>
      </w:r>
    </w:p>
    <w:p w14:paraId="51DC5DD8" w14:textId="32040A89" w:rsidR="005F642E" w:rsidRPr="002178D9" w:rsidRDefault="00F25EB9" w:rsidP="005F642E">
      <w:pPr>
        <w:spacing w:after="0" w:line="240" w:lineRule="auto"/>
        <w:jc w:val="both"/>
        <w:rPr>
          <w:bCs/>
        </w:rPr>
      </w:pPr>
      <w:r w:rsidRPr="002178D9">
        <w:rPr>
          <w:bCs/>
        </w:rPr>
        <w:t>In June 2020,</w:t>
      </w:r>
      <w:r w:rsidR="005F642E" w:rsidRPr="002178D9">
        <w:rPr>
          <w:bCs/>
        </w:rPr>
        <w:t xml:space="preserve"> a</w:t>
      </w:r>
      <w:r w:rsidR="00EA10E1" w:rsidRPr="002178D9">
        <w:rPr>
          <w:bCs/>
        </w:rPr>
        <w:t xml:space="preserve"> Call for Proposals of </w:t>
      </w:r>
      <w:r w:rsidR="005F642E" w:rsidRPr="002178D9">
        <w:rPr>
          <w:bCs/>
        </w:rPr>
        <w:t xml:space="preserve">the WPHF/Spotlight Initiative </w:t>
      </w:r>
      <w:r w:rsidR="00EA10E1" w:rsidRPr="002178D9">
        <w:rPr>
          <w:bCs/>
        </w:rPr>
        <w:t xml:space="preserve">was launched for two months. </w:t>
      </w:r>
      <w:r w:rsidR="005D09DE" w:rsidRPr="002178D9">
        <w:rPr>
          <w:bCs/>
        </w:rPr>
        <w:t>This call for proposal included two funding streams: (</w:t>
      </w:r>
      <w:proofErr w:type="spellStart"/>
      <w:r w:rsidR="005D09DE" w:rsidRPr="002178D9">
        <w:rPr>
          <w:bCs/>
        </w:rPr>
        <w:t>i</w:t>
      </w:r>
      <w:proofErr w:type="spellEnd"/>
      <w:r w:rsidR="005D09DE" w:rsidRPr="002178D9">
        <w:rPr>
          <w:bCs/>
        </w:rPr>
        <w:t xml:space="preserve">) stream 1: institutional funding, (ii) stream 2: Programmatic funding. </w:t>
      </w:r>
      <w:r w:rsidR="00EA10E1" w:rsidRPr="002178D9">
        <w:rPr>
          <w:bCs/>
        </w:rPr>
        <w:t>After technical review</w:t>
      </w:r>
      <w:r w:rsidR="00443108" w:rsidRPr="002178D9">
        <w:rPr>
          <w:bCs/>
        </w:rPr>
        <w:t xml:space="preserve"> </w:t>
      </w:r>
      <w:r w:rsidR="00855062" w:rsidRPr="002178D9">
        <w:rPr>
          <w:bCs/>
        </w:rPr>
        <w:t xml:space="preserve">of proposals received </w:t>
      </w:r>
      <w:r w:rsidR="00443108" w:rsidRPr="002178D9">
        <w:rPr>
          <w:bCs/>
        </w:rPr>
        <w:t>and selection by</w:t>
      </w:r>
      <w:r w:rsidR="005F642E" w:rsidRPr="002178D9">
        <w:rPr>
          <w:bCs/>
        </w:rPr>
        <w:t xml:space="preserve"> the National Steering Committee</w:t>
      </w:r>
      <w:r w:rsidR="009808D5" w:rsidRPr="002178D9">
        <w:rPr>
          <w:bCs/>
        </w:rPr>
        <w:t xml:space="preserve">, an initial </w:t>
      </w:r>
      <w:r w:rsidRPr="002178D9">
        <w:rPr>
          <w:bCs/>
        </w:rPr>
        <w:t xml:space="preserve">10 grants are being </w:t>
      </w:r>
      <w:r w:rsidR="00443108" w:rsidRPr="002178D9">
        <w:rPr>
          <w:bCs/>
        </w:rPr>
        <w:t>funded</w:t>
      </w:r>
      <w:r w:rsidRPr="002178D9">
        <w:rPr>
          <w:bCs/>
        </w:rPr>
        <w:t xml:space="preserve"> through this WPHF-Spotlight Initiative partnership in the first round, with a total of 7 organizations</w:t>
      </w:r>
      <w:r w:rsidR="00C63265">
        <w:rPr>
          <w:bCs/>
        </w:rPr>
        <w:t>, including 3 receiving both institutional and programmatic funding</w:t>
      </w:r>
      <w:r w:rsidRPr="002178D9">
        <w:rPr>
          <w:bCs/>
        </w:rPr>
        <w:t xml:space="preserve">.  </w:t>
      </w:r>
    </w:p>
    <w:p w14:paraId="1A3D687E" w14:textId="40DE7022" w:rsidR="003C1F3C" w:rsidRPr="002178D9" w:rsidRDefault="003C1F3C" w:rsidP="005F642E">
      <w:pPr>
        <w:spacing w:after="0" w:line="240" w:lineRule="auto"/>
        <w:jc w:val="both"/>
        <w:rPr>
          <w:bCs/>
        </w:rPr>
      </w:pPr>
    </w:p>
    <w:p w14:paraId="30809155" w14:textId="3CEAA81A" w:rsidR="003C1F3C" w:rsidRPr="002178D9" w:rsidRDefault="005D7E82" w:rsidP="005F642E">
      <w:pPr>
        <w:spacing w:after="0" w:line="240" w:lineRule="auto"/>
        <w:jc w:val="both"/>
        <w:rPr>
          <w:bCs/>
        </w:rPr>
      </w:pPr>
      <w:r w:rsidRPr="002178D9">
        <w:rPr>
          <w:rFonts w:ascii="Calibri" w:eastAsia="Times New Roman" w:hAnsi="Calibri" w:cs="Calibri"/>
          <w:color w:val="000000" w:themeColor="text1"/>
          <w:lang w:eastAsia="fr-FR"/>
        </w:rPr>
        <w:t>Given the contextual realities of CSO</w:t>
      </w:r>
      <w:r w:rsidR="0084592D">
        <w:rPr>
          <w:rFonts w:ascii="Calibri" w:eastAsia="Times New Roman" w:hAnsi="Calibri" w:cs="Calibri"/>
          <w:color w:val="000000" w:themeColor="text1"/>
          <w:lang w:eastAsia="fr-FR"/>
        </w:rPr>
        <w:t>s</w:t>
      </w:r>
      <w:r w:rsidRPr="002178D9">
        <w:rPr>
          <w:rFonts w:ascii="Calibri" w:eastAsia="Times New Roman" w:hAnsi="Calibri" w:cs="Calibri"/>
          <w:color w:val="000000" w:themeColor="text1"/>
          <w:lang w:eastAsia="fr-FR"/>
        </w:rPr>
        <w:t xml:space="preserve"> in PNG and </w:t>
      </w:r>
      <w:r w:rsidRPr="002178D9">
        <w:rPr>
          <w:bCs/>
        </w:rPr>
        <w:t>t</w:t>
      </w:r>
      <w:r w:rsidR="003C1F3C" w:rsidRPr="002178D9">
        <w:rPr>
          <w:bCs/>
        </w:rPr>
        <w:t xml:space="preserve">o facilitate access to funding to local organizations in </w:t>
      </w:r>
      <w:r w:rsidR="00925C16" w:rsidRPr="002178D9">
        <w:rPr>
          <w:bCs/>
        </w:rPr>
        <w:t>most conflict and COVID-19 impacted areas</w:t>
      </w:r>
      <w:r w:rsidR="003C1F3C" w:rsidRPr="002178D9">
        <w:rPr>
          <w:bCs/>
        </w:rPr>
        <w:t>, the National Steering Committee has decided to launch a second Call for Proposals targeting the</w:t>
      </w:r>
      <w:r w:rsidR="00F2468F" w:rsidRPr="002178D9">
        <w:rPr>
          <w:bCs/>
        </w:rPr>
        <w:t xml:space="preserve"> </w:t>
      </w:r>
      <w:proofErr w:type="gramStart"/>
      <w:r w:rsidR="00F2468F" w:rsidRPr="002178D9">
        <w:rPr>
          <w:bCs/>
        </w:rPr>
        <w:t xml:space="preserve">provinces </w:t>
      </w:r>
      <w:r w:rsidR="003C1F3C" w:rsidRPr="002178D9">
        <w:rPr>
          <w:bCs/>
        </w:rPr>
        <w:t xml:space="preserve"> of</w:t>
      </w:r>
      <w:proofErr w:type="gramEnd"/>
      <w:r w:rsidR="003C1F3C" w:rsidRPr="002178D9">
        <w:rPr>
          <w:bCs/>
        </w:rPr>
        <w:t xml:space="preserve"> </w:t>
      </w:r>
      <w:r w:rsidR="00925C16" w:rsidRPr="002178D9">
        <w:rPr>
          <w:bCs/>
        </w:rPr>
        <w:t>Western, West Sepik, Hela and Southern Highlands,</w:t>
      </w:r>
      <w:r w:rsidR="007B38BF" w:rsidRPr="002178D9">
        <w:rPr>
          <w:bCs/>
        </w:rPr>
        <w:t xml:space="preserve"> with additional support available for prospective applicants, on project design and proposal drafting.</w:t>
      </w:r>
      <w:r w:rsidR="005168F7" w:rsidRPr="002178D9">
        <w:rPr>
          <w:bCs/>
        </w:rPr>
        <w:t xml:space="preserve"> Th</w:t>
      </w:r>
      <w:r w:rsidR="000239AA" w:rsidRPr="002178D9">
        <w:rPr>
          <w:bCs/>
        </w:rPr>
        <w:t>e 2</w:t>
      </w:r>
      <w:r w:rsidR="000239AA" w:rsidRPr="002178D9">
        <w:rPr>
          <w:bCs/>
          <w:vertAlign w:val="superscript"/>
        </w:rPr>
        <w:t>nd</w:t>
      </w:r>
      <w:r w:rsidR="000239AA" w:rsidRPr="002178D9">
        <w:rPr>
          <w:bCs/>
        </w:rPr>
        <w:t xml:space="preserve"> round of</w:t>
      </w:r>
      <w:r w:rsidR="005168F7" w:rsidRPr="002178D9">
        <w:rPr>
          <w:bCs/>
        </w:rPr>
        <w:t xml:space="preserve"> Call for Proposal, aimed to be launched in </w:t>
      </w:r>
      <w:r w:rsidR="003E056B">
        <w:rPr>
          <w:bCs/>
        </w:rPr>
        <w:t xml:space="preserve">May </w:t>
      </w:r>
      <w:r w:rsidR="005168F7" w:rsidRPr="002178D9">
        <w:rPr>
          <w:bCs/>
        </w:rPr>
        <w:t>2021, will fund additional CSOs through this partnership, bringing the estimated total of selected grantees to 10-14 CSOs.</w:t>
      </w:r>
    </w:p>
    <w:p w14:paraId="40BE96F1" w14:textId="6AB173BD" w:rsidR="00332687" w:rsidRPr="002178D9" w:rsidRDefault="00332687" w:rsidP="001A2D6B">
      <w:pPr>
        <w:spacing w:after="0" w:line="240" w:lineRule="auto"/>
        <w:jc w:val="both"/>
        <w:rPr>
          <w:bCs/>
        </w:rPr>
      </w:pPr>
    </w:p>
    <w:p w14:paraId="7B0E9B10" w14:textId="6C630DB5" w:rsidR="00465858" w:rsidRPr="002178D9" w:rsidRDefault="00FC5E2F" w:rsidP="002B6396">
      <w:pPr>
        <w:pStyle w:val="ListParagraph"/>
        <w:numPr>
          <w:ilvl w:val="0"/>
          <w:numId w:val="1"/>
        </w:numPr>
        <w:spacing w:after="0" w:line="240" w:lineRule="auto"/>
        <w:ind w:left="360"/>
        <w:rPr>
          <w:b/>
        </w:rPr>
      </w:pPr>
      <w:r w:rsidRPr="002178D9">
        <w:rPr>
          <w:b/>
        </w:rPr>
        <w:t>Purpose and Objectives</w:t>
      </w:r>
    </w:p>
    <w:p w14:paraId="454BD2B0" w14:textId="113FCFE7" w:rsidR="00465858" w:rsidRPr="002178D9" w:rsidRDefault="00D06A1A" w:rsidP="0023644F">
      <w:pPr>
        <w:spacing w:after="0" w:line="240" w:lineRule="auto"/>
        <w:jc w:val="both"/>
        <w:rPr>
          <w:bCs/>
        </w:rPr>
      </w:pPr>
      <w:r w:rsidRPr="002178D9">
        <w:rPr>
          <w:bCs/>
        </w:rPr>
        <w:t xml:space="preserve">The </w:t>
      </w:r>
      <w:r w:rsidR="00FC5E2F" w:rsidRPr="002178D9">
        <w:rPr>
          <w:bCs/>
        </w:rPr>
        <w:t>overall purpose of th</w:t>
      </w:r>
      <w:r w:rsidR="000239AA" w:rsidRPr="002178D9">
        <w:rPr>
          <w:bCs/>
        </w:rPr>
        <w:t>is</w:t>
      </w:r>
      <w:r w:rsidR="00FC5E2F" w:rsidRPr="002178D9">
        <w:rPr>
          <w:bCs/>
        </w:rPr>
        <w:t xml:space="preserve"> call is to</w:t>
      </w:r>
      <w:r w:rsidR="005D0114" w:rsidRPr="002178D9">
        <w:rPr>
          <w:bCs/>
        </w:rPr>
        <w:t xml:space="preserve"> </w:t>
      </w:r>
      <w:r w:rsidR="00981F8D" w:rsidRPr="002178D9">
        <w:rPr>
          <w:rFonts w:ascii="Calibri" w:eastAsia="Times New Roman" w:hAnsi="Calibri" w:cs="Calibri"/>
          <w:color w:val="000000" w:themeColor="text1"/>
          <w:lang w:eastAsia="fr-FR"/>
        </w:rPr>
        <w:t>identify and partner with a</w:t>
      </w:r>
      <w:r w:rsidR="0084592D">
        <w:rPr>
          <w:rFonts w:ascii="Calibri" w:eastAsia="Times New Roman" w:hAnsi="Calibri" w:cs="Calibri"/>
          <w:color w:val="000000" w:themeColor="text1"/>
          <w:lang w:eastAsia="fr-FR"/>
        </w:rPr>
        <w:t xml:space="preserve"> </w:t>
      </w:r>
      <w:r w:rsidR="00C37A19">
        <w:rPr>
          <w:rFonts w:ascii="Calibri" w:eastAsia="Times New Roman" w:hAnsi="Calibri" w:cs="Calibri"/>
          <w:color w:val="000000" w:themeColor="text1"/>
          <w:lang w:eastAsia="fr-FR"/>
        </w:rPr>
        <w:t xml:space="preserve">National, </w:t>
      </w:r>
      <w:r w:rsidR="0084592D">
        <w:rPr>
          <w:rFonts w:ascii="Calibri" w:eastAsia="Times New Roman" w:hAnsi="Calibri" w:cs="Calibri"/>
          <w:color w:val="000000" w:themeColor="text1"/>
          <w:lang w:eastAsia="fr-FR"/>
        </w:rPr>
        <w:t>Regional or</w:t>
      </w:r>
      <w:r w:rsidR="00981F8D" w:rsidRPr="002178D9">
        <w:rPr>
          <w:rFonts w:ascii="Calibri" w:eastAsia="Times New Roman" w:hAnsi="Calibri" w:cs="Calibri"/>
          <w:color w:val="000000" w:themeColor="text1"/>
          <w:lang w:eastAsia="fr-FR"/>
        </w:rPr>
        <w:t xml:space="preserve"> International Non-Governmental Organization (NGO), to support</w:t>
      </w:r>
      <w:r w:rsidR="00981F8D" w:rsidRPr="002178D9">
        <w:rPr>
          <w:bCs/>
        </w:rPr>
        <w:t xml:space="preserve"> </w:t>
      </w:r>
      <w:r w:rsidR="005D0114" w:rsidRPr="002178D9">
        <w:rPr>
          <w:bCs/>
        </w:rPr>
        <w:t xml:space="preserve">grassroots organizations and CSOs in </w:t>
      </w:r>
      <w:r w:rsidR="0023644F" w:rsidRPr="002178D9">
        <w:rPr>
          <w:bCs/>
        </w:rPr>
        <w:t xml:space="preserve">the design, implementation, </w:t>
      </w:r>
      <w:r w:rsidR="0023644F" w:rsidRPr="007678BE">
        <w:rPr>
          <w:bCs/>
        </w:rPr>
        <w:t xml:space="preserve">monitoring, evaluation and reporting of their projects </w:t>
      </w:r>
      <w:r w:rsidR="00981F8D" w:rsidRPr="007678BE">
        <w:rPr>
          <w:bCs/>
        </w:rPr>
        <w:t xml:space="preserve">in applying to the second round of Call for Proposal in </w:t>
      </w:r>
      <w:r w:rsidR="003E056B" w:rsidRPr="007678BE">
        <w:rPr>
          <w:bCs/>
        </w:rPr>
        <w:t>May</w:t>
      </w:r>
      <w:r w:rsidR="00981F8D" w:rsidRPr="007678BE">
        <w:rPr>
          <w:bCs/>
        </w:rPr>
        <w:t xml:space="preserve">, </w:t>
      </w:r>
      <w:r w:rsidR="0023644F" w:rsidRPr="007678BE">
        <w:rPr>
          <w:bCs/>
        </w:rPr>
        <w:t xml:space="preserve">as well as </w:t>
      </w:r>
      <w:r w:rsidR="003B70F1" w:rsidRPr="007678BE">
        <w:rPr>
          <w:bCs/>
        </w:rPr>
        <w:t>provide training for</w:t>
      </w:r>
      <w:r w:rsidR="00981F8D" w:rsidRPr="007678BE">
        <w:rPr>
          <w:bCs/>
        </w:rPr>
        <w:t xml:space="preserve"> </w:t>
      </w:r>
      <w:r w:rsidR="009808D5" w:rsidRPr="007678BE">
        <w:rPr>
          <w:bCs/>
        </w:rPr>
        <w:t xml:space="preserve">all WPHF-Spotlight Initiative </w:t>
      </w:r>
      <w:r w:rsidR="00981F8D" w:rsidRPr="007678BE">
        <w:rPr>
          <w:bCs/>
        </w:rPr>
        <w:t>selected grantees</w:t>
      </w:r>
      <w:r w:rsidR="009808D5" w:rsidRPr="007678BE">
        <w:rPr>
          <w:bCs/>
        </w:rPr>
        <w:t xml:space="preserve"> (both CFP rounds) </w:t>
      </w:r>
      <w:r w:rsidR="003B70F1" w:rsidRPr="007678BE">
        <w:rPr>
          <w:bCs/>
        </w:rPr>
        <w:t>to</w:t>
      </w:r>
      <w:r w:rsidR="00981F8D" w:rsidRPr="007678BE">
        <w:rPr>
          <w:bCs/>
        </w:rPr>
        <w:t xml:space="preserve"> </w:t>
      </w:r>
      <w:r w:rsidR="0023644F" w:rsidRPr="007678BE">
        <w:rPr>
          <w:bCs/>
        </w:rPr>
        <w:t>ensur</w:t>
      </w:r>
      <w:r w:rsidR="003B70F1" w:rsidRPr="007678BE">
        <w:rPr>
          <w:bCs/>
        </w:rPr>
        <w:t>e</w:t>
      </w:r>
      <w:r w:rsidR="0023644F" w:rsidRPr="002178D9">
        <w:rPr>
          <w:bCs/>
        </w:rPr>
        <w:t xml:space="preserve"> </w:t>
      </w:r>
      <w:r w:rsidR="005D0114" w:rsidRPr="002178D9">
        <w:rPr>
          <w:bCs/>
        </w:rPr>
        <w:t xml:space="preserve">accountability and financial stewardship of donor resources through </w:t>
      </w:r>
      <w:r w:rsidR="0023644F" w:rsidRPr="002178D9">
        <w:rPr>
          <w:bCs/>
        </w:rPr>
        <w:t>the</w:t>
      </w:r>
      <w:r w:rsidR="005D0114" w:rsidRPr="002178D9">
        <w:rPr>
          <w:bCs/>
        </w:rPr>
        <w:t xml:space="preserve"> WPHF/Spotlight </w:t>
      </w:r>
      <w:r w:rsidR="0023644F" w:rsidRPr="002178D9">
        <w:rPr>
          <w:bCs/>
        </w:rPr>
        <w:t>Initiative. Specifically, the</w:t>
      </w:r>
      <w:r w:rsidR="00E748AD" w:rsidRPr="002178D9">
        <w:rPr>
          <w:bCs/>
        </w:rPr>
        <w:t xml:space="preserve"> </w:t>
      </w:r>
      <w:r w:rsidR="007D7326" w:rsidRPr="002178D9">
        <w:rPr>
          <w:bCs/>
        </w:rPr>
        <w:t>objectives</w:t>
      </w:r>
      <w:r w:rsidR="00E748AD" w:rsidRPr="002178D9">
        <w:rPr>
          <w:bCs/>
        </w:rPr>
        <w:t xml:space="preserve"> are</w:t>
      </w:r>
      <w:r w:rsidR="00FC5E2F" w:rsidRPr="002178D9">
        <w:rPr>
          <w:bCs/>
        </w:rPr>
        <w:t xml:space="preserve">: </w:t>
      </w:r>
    </w:p>
    <w:p w14:paraId="3B4161D1" w14:textId="58179E51" w:rsidR="005445C8" w:rsidRPr="002178D9" w:rsidRDefault="00E748AD" w:rsidP="00E748AD">
      <w:pPr>
        <w:pStyle w:val="ListParagraph"/>
        <w:numPr>
          <w:ilvl w:val="0"/>
          <w:numId w:val="41"/>
        </w:numPr>
        <w:spacing w:before="100" w:beforeAutospacing="1" w:after="100" w:afterAutospacing="1" w:line="240" w:lineRule="auto"/>
        <w:contextualSpacing w:val="0"/>
        <w:jc w:val="both"/>
        <w:rPr>
          <w:rFonts w:ascii="Calibri" w:hAnsi="Calibri" w:cs="Calibri"/>
          <w:color w:val="000000" w:themeColor="text1"/>
        </w:rPr>
      </w:pPr>
      <w:r w:rsidRPr="002178D9">
        <w:rPr>
          <w:rFonts w:ascii="Calibri" w:hAnsi="Calibri" w:cs="Calibri"/>
          <w:color w:val="000000" w:themeColor="text1"/>
        </w:rPr>
        <w:t xml:space="preserve">Improved </w:t>
      </w:r>
      <w:r w:rsidR="005445C8" w:rsidRPr="002178D9">
        <w:rPr>
          <w:rFonts w:ascii="Calibri" w:hAnsi="Calibri" w:cs="Calibri"/>
          <w:color w:val="000000" w:themeColor="text1"/>
        </w:rPr>
        <w:t>design and reporting processes, for better quality result</w:t>
      </w:r>
      <w:r w:rsidR="003518E7" w:rsidRPr="002178D9">
        <w:rPr>
          <w:rFonts w:ascii="Calibri" w:hAnsi="Calibri" w:cs="Calibri"/>
          <w:color w:val="000000" w:themeColor="text1"/>
        </w:rPr>
        <w:t>s</w:t>
      </w:r>
      <w:r w:rsidR="00B05554">
        <w:rPr>
          <w:rFonts w:ascii="Calibri" w:hAnsi="Calibri" w:cs="Calibri"/>
          <w:color w:val="000000" w:themeColor="text1"/>
        </w:rPr>
        <w:t>-</w:t>
      </w:r>
      <w:r w:rsidR="005445C8" w:rsidRPr="002178D9">
        <w:rPr>
          <w:rFonts w:ascii="Calibri" w:hAnsi="Calibri" w:cs="Calibri"/>
          <w:color w:val="000000" w:themeColor="text1"/>
        </w:rPr>
        <w:t>based management.</w:t>
      </w:r>
    </w:p>
    <w:p w14:paraId="2E6C15B6" w14:textId="3E751FBB" w:rsidR="00E748AD" w:rsidRPr="004724DD" w:rsidRDefault="005445C8" w:rsidP="003E056B">
      <w:pPr>
        <w:pStyle w:val="ListParagraph"/>
        <w:numPr>
          <w:ilvl w:val="0"/>
          <w:numId w:val="41"/>
        </w:numPr>
        <w:spacing w:before="100" w:beforeAutospacing="1" w:after="100" w:afterAutospacing="1" w:line="240" w:lineRule="auto"/>
        <w:contextualSpacing w:val="0"/>
        <w:jc w:val="both"/>
        <w:rPr>
          <w:rFonts w:ascii="Calibri" w:hAnsi="Calibri" w:cs="Calibri"/>
          <w:color w:val="000000" w:themeColor="text1"/>
        </w:rPr>
      </w:pPr>
      <w:r w:rsidRPr="002178D9">
        <w:rPr>
          <w:rFonts w:ascii="Calibri" w:hAnsi="Calibri" w:cs="Calibri"/>
          <w:color w:val="000000" w:themeColor="text1"/>
        </w:rPr>
        <w:t xml:space="preserve">Improved </w:t>
      </w:r>
      <w:r w:rsidR="00E748AD" w:rsidRPr="002178D9">
        <w:rPr>
          <w:rFonts w:ascii="Calibri" w:hAnsi="Calibri" w:cs="Calibri"/>
          <w:color w:val="000000" w:themeColor="text1"/>
        </w:rPr>
        <w:t>accountability and financial stewardship of donor resources through building WPHF-SI grantees organizational systems for good governance, financial management and procurement processes.</w:t>
      </w:r>
    </w:p>
    <w:p w14:paraId="55286A99" w14:textId="59C6F992" w:rsidR="00FC5E2F" w:rsidRPr="002178D9" w:rsidRDefault="00E748AD" w:rsidP="003E15F2">
      <w:pPr>
        <w:spacing w:after="0" w:line="240" w:lineRule="auto"/>
        <w:jc w:val="both"/>
        <w:rPr>
          <w:bCs/>
        </w:rPr>
      </w:pPr>
      <w:r w:rsidRPr="002178D9">
        <w:rPr>
          <w:bCs/>
        </w:rPr>
        <w:t>This can be achieved through:</w:t>
      </w:r>
    </w:p>
    <w:p w14:paraId="578699A3" w14:textId="2AD04B80" w:rsidR="00FC5E2F" w:rsidRPr="002178D9" w:rsidRDefault="00FC5E2F" w:rsidP="00351D0E">
      <w:pPr>
        <w:numPr>
          <w:ilvl w:val="0"/>
          <w:numId w:val="35"/>
        </w:numPr>
        <w:spacing w:after="0" w:line="240" w:lineRule="auto"/>
        <w:ind w:left="405"/>
        <w:rPr>
          <w:rFonts w:ascii="Calibri" w:eastAsia="Times New Roman" w:hAnsi="Calibri" w:cs="Calibri"/>
          <w:color w:val="000000" w:themeColor="text1"/>
          <w:lang w:eastAsia="fr-FR"/>
        </w:rPr>
      </w:pPr>
      <w:r w:rsidRPr="002178D9">
        <w:rPr>
          <w:rFonts w:ascii="Calibri" w:eastAsia="Times New Roman" w:hAnsi="Calibri" w:cs="Calibri"/>
          <w:color w:val="000000" w:themeColor="text1"/>
          <w:lang w:eastAsia="fr-FR"/>
        </w:rPr>
        <w:t>Provide technical support on project design and proposal writing to potential applicants during the second Call for Proposal</w:t>
      </w:r>
      <w:r w:rsidR="00AB2589" w:rsidRPr="002178D9">
        <w:rPr>
          <w:rFonts w:ascii="Calibri" w:eastAsia="Times New Roman" w:hAnsi="Calibri" w:cs="Calibri"/>
          <w:color w:val="000000" w:themeColor="text1"/>
          <w:lang w:eastAsia="fr-FR"/>
        </w:rPr>
        <w:t xml:space="preserve"> (</w:t>
      </w:r>
      <w:proofErr w:type="spellStart"/>
      <w:r w:rsidR="00AB2589" w:rsidRPr="002178D9">
        <w:rPr>
          <w:rFonts w:ascii="Calibri" w:eastAsia="Times New Roman" w:hAnsi="Calibri" w:cs="Calibri"/>
          <w:color w:val="000000" w:themeColor="text1"/>
          <w:lang w:eastAsia="fr-FR"/>
        </w:rPr>
        <w:t>CfP</w:t>
      </w:r>
      <w:proofErr w:type="spellEnd"/>
      <w:r w:rsidR="00AB2589" w:rsidRPr="002178D9">
        <w:rPr>
          <w:rFonts w:ascii="Calibri" w:eastAsia="Times New Roman" w:hAnsi="Calibri" w:cs="Calibri"/>
          <w:color w:val="000000" w:themeColor="text1"/>
          <w:lang w:eastAsia="fr-FR"/>
        </w:rPr>
        <w:t xml:space="preserve">) through both in-person workshops/meetings and virtual sessions. </w:t>
      </w:r>
    </w:p>
    <w:p w14:paraId="61C0E318" w14:textId="233356AF" w:rsidR="00FC5E2F" w:rsidRPr="002178D9" w:rsidRDefault="00351D0E" w:rsidP="00351D0E">
      <w:pPr>
        <w:numPr>
          <w:ilvl w:val="0"/>
          <w:numId w:val="35"/>
        </w:numPr>
        <w:spacing w:after="0" w:line="240" w:lineRule="auto"/>
        <w:ind w:left="405"/>
        <w:rPr>
          <w:rFonts w:ascii="Calibri" w:eastAsia="Times New Roman" w:hAnsi="Calibri" w:cs="Calibri"/>
          <w:color w:val="000000" w:themeColor="text1"/>
          <w:lang w:eastAsia="fr-FR"/>
        </w:rPr>
      </w:pPr>
      <w:r w:rsidRPr="002178D9">
        <w:rPr>
          <w:rFonts w:ascii="Calibri" w:eastAsia="Times New Roman" w:hAnsi="Calibri" w:cs="Calibri"/>
          <w:color w:val="000000" w:themeColor="text1"/>
          <w:lang w:eastAsia="fr-FR"/>
        </w:rPr>
        <w:t>Conduct rapid capacity assessment and d</w:t>
      </w:r>
      <w:r w:rsidR="00FC5E2F" w:rsidRPr="002178D9">
        <w:rPr>
          <w:rFonts w:ascii="Calibri" w:eastAsia="Times New Roman" w:hAnsi="Calibri" w:cs="Calibri"/>
          <w:color w:val="000000" w:themeColor="text1"/>
          <w:lang w:eastAsia="fr-FR"/>
        </w:rPr>
        <w:t>evelop institutional capacity building plans based on identified areas of weakness and project management risks</w:t>
      </w:r>
      <w:r w:rsidR="00981F8D" w:rsidRPr="002178D9">
        <w:rPr>
          <w:rFonts w:ascii="Calibri" w:eastAsia="Times New Roman" w:hAnsi="Calibri" w:cs="Calibri"/>
          <w:color w:val="000000" w:themeColor="text1"/>
          <w:lang w:eastAsia="fr-FR"/>
        </w:rPr>
        <w:t>, including financial management</w:t>
      </w:r>
      <w:r w:rsidR="00FC5E2F" w:rsidRPr="002178D9">
        <w:rPr>
          <w:rFonts w:ascii="Calibri" w:eastAsia="Times New Roman" w:hAnsi="Calibri" w:cs="Calibri"/>
          <w:color w:val="000000" w:themeColor="text1"/>
          <w:lang w:eastAsia="fr-FR"/>
        </w:rPr>
        <w:t xml:space="preserve">. </w:t>
      </w:r>
    </w:p>
    <w:p w14:paraId="3FD50A9A" w14:textId="11399E93" w:rsidR="00FC5E2F" w:rsidRPr="002178D9" w:rsidRDefault="00FC5E2F" w:rsidP="00351D0E">
      <w:pPr>
        <w:numPr>
          <w:ilvl w:val="0"/>
          <w:numId w:val="35"/>
        </w:numPr>
        <w:spacing w:after="0" w:line="240" w:lineRule="auto"/>
        <w:ind w:left="405"/>
        <w:rPr>
          <w:rFonts w:ascii="Calibri" w:eastAsia="Times New Roman" w:hAnsi="Calibri" w:cs="Calibri"/>
          <w:color w:val="000000" w:themeColor="text1"/>
          <w:lang w:eastAsia="fr-FR"/>
        </w:rPr>
      </w:pPr>
      <w:r w:rsidRPr="002178D9">
        <w:rPr>
          <w:rFonts w:ascii="Calibri" w:eastAsia="Times New Roman" w:hAnsi="Calibri" w:cs="Calibri"/>
          <w:color w:val="000000" w:themeColor="text1"/>
          <w:lang w:eastAsia="fr-FR"/>
        </w:rPr>
        <w:lastRenderedPageBreak/>
        <w:t xml:space="preserve">Provide technical expertise </w:t>
      </w:r>
      <w:r w:rsidR="00351D0E" w:rsidRPr="002178D9">
        <w:rPr>
          <w:rFonts w:ascii="Calibri" w:eastAsia="Times New Roman" w:hAnsi="Calibri" w:cs="Calibri"/>
          <w:color w:val="000000" w:themeColor="text1"/>
          <w:lang w:eastAsia="fr-FR"/>
        </w:rPr>
        <w:t xml:space="preserve">and </w:t>
      </w:r>
      <w:r w:rsidRPr="002178D9">
        <w:rPr>
          <w:rFonts w:ascii="Calibri" w:eastAsia="Times New Roman" w:hAnsi="Calibri" w:cs="Calibri"/>
          <w:color w:val="000000" w:themeColor="text1"/>
          <w:lang w:eastAsia="fr-FR"/>
        </w:rPr>
        <w:t xml:space="preserve">support to </w:t>
      </w:r>
      <w:r w:rsidR="00351D0E" w:rsidRPr="002178D9">
        <w:rPr>
          <w:rFonts w:ascii="Calibri" w:eastAsia="Times New Roman" w:hAnsi="Calibri" w:cs="Calibri"/>
          <w:color w:val="000000" w:themeColor="text1"/>
          <w:lang w:eastAsia="fr-FR"/>
        </w:rPr>
        <w:t xml:space="preserve">successful </w:t>
      </w:r>
      <w:r w:rsidRPr="002178D9">
        <w:rPr>
          <w:rFonts w:ascii="Calibri" w:eastAsia="Times New Roman" w:hAnsi="Calibri" w:cs="Calibri"/>
          <w:color w:val="000000" w:themeColor="text1"/>
          <w:lang w:eastAsia="fr-FR"/>
        </w:rPr>
        <w:t>grantees on quality EVAW programming</w:t>
      </w:r>
      <w:r w:rsidR="008171C5" w:rsidRPr="002178D9">
        <w:rPr>
          <w:rFonts w:ascii="Calibri" w:eastAsia="Times New Roman" w:hAnsi="Calibri" w:cs="Calibri"/>
          <w:color w:val="000000" w:themeColor="text1"/>
          <w:lang w:eastAsia="fr-FR"/>
        </w:rPr>
        <w:t xml:space="preserve"> and application of global norms and standards for gender equality and inclusive programming</w:t>
      </w:r>
      <w:r w:rsidRPr="002178D9">
        <w:rPr>
          <w:rFonts w:ascii="Calibri" w:eastAsia="Times New Roman" w:hAnsi="Calibri" w:cs="Calibri"/>
          <w:color w:val="000000" w:themeColor="text1"/>
          <w:lang w:eastAsia="fr-FR"/>
        </w:rPr>
        <w:t xml:space="preserve">. </w:t>
      </w:r>
    </w:p>
    <w:p w14:paraId="6B048B96" w14:textId="2E9E3402" w:rsidR="00FC5E2F" w:rsidRPr="002178D9" w:rsidRDefault="00FC5E2F" w:rsidP="00351D0E">
      <w:pPr>
        <w:numPr>
          <w:ilvl w:val="0"/>
          <w:numId w:val="35"/>
        </w:numPr>
        <w:spacing w:after="0" w:line="240" w:lineRule="auto"/>
        <w:ind w:left="405"/>
        <w:rPr>
          <w:rFonts w:ascii="Calibri" w:eastAsia="Times New Roman" w:hAnsi="Calibri" w:cs="Calibri"/>
          <w:color w:val="000000" w:themeColor="text1"/>
          <w:lang w:eastAsia="fr-FR"/>
        </w:rPr>
      </w:pPr>
      <w:r w:rsidRPr="002178D9">
        <w:rPr>
          <w:rFonts w:ascii="Calibri" w:eastAsia="Times New Roman" w:hAnsi="Calibri" w:cs="Calibri"/>
          <w:color w:val="000000" w:themeColor="text1"/>
          <w:lang w:eastAsia="fr-FR"/>
        </w:rPr>
        <w:t xml:space="preserve">Provide </w:t>
      </w:r>
      <w:r w:rsidR="00351D0E" w:rsidRPr="002178D9">
        <w:rPr>
          <w:rFonts w:ascii="Calibri" w:eastAsia="Times New Roman" w:hAnsi="Calibri" w:cs="Calibri"/>
          <w:color w:val="000000" w:themeColor="text1"/>
          <w:lang w:eastAsia="fr-FR"/>
        </w:rPr>
        <w:t>a series of technical trainings on Results-Based Management (RBM)</w:t>
      </w:r>
      <w:r w:rsidR="00902A46" w:rsidRPr="002178D9">
        <w:rPr>
          <w:rFonts w:ascii="Calibri" w:eastAsia="Times New Roman" w:hAnsi="Calibri" w:cs="Calibri"/>
          <w:color w:val="000000" w:themeColor="text1"/>
          <w:lang w:eastAsia="fr-FR"/>
        </w:rPr>
        <w:t xml:space="preserve">, </w:t>
      </w:r>
      <w:r w:rsidR="00351D0E" w:rsidRPr="002178D9">
        <w:rPr>
          <w:rFonts w:ascii="Calibri" w:eastAsia="Times New Roman" w:hAnsi="Calibri" w:cs="Calibri"/>
          <w:color w:val="000000" w:themeColor="text1"/>
          <w:lang w:eastAsia="fr-FR"/>
        </w:rPr>
        <w:t>monitoring</w:t>
      </w:r>
      <w:r w:rsidR="00235D6F" w:rsidRPr="002178D9">
        <w:rPr>
          <w:rFonts w:ascii="Calibri" w:eastAsia="Times New Roman" w:hAnsi="Calibri" w:cs="Calibri"/>
          <w:color w:val="000000" w:themeColor="text1"/>
          <w:lang w:eastAsia="fr-FR"/>
        </w:rPr>
        <w:t>,</w:t>
      </w:r>
      <w:r w:rsidR="00351D0E" w:rsidRPr="002178D9">
        <w:rPr>
          <w:rFonts w:ascii="Calibri" w:eastAsia="Times New Roman" w:hAnsi="Calibri" w:cs="Calibri"/>
          <w:color w:val="000000" w:themeColor="text1"/>
          <w:lang w:eastAsia="fr-FR"/>
        </w:rPr>
        <w:t xml:space="preserve"> </w:t>
      </w:r>
      <w:r w:rsidR="00235D6F" w:rsidRPr="002178D9">
        <w:rPr>
          <w:rFonts w:ascii="Calibri" w:eastAsia="Times New Roman" w:hAnsi="Calibri" w:cs="Calibri"/>
          <w:color w:val="000000" w:themeColor="text1"/>
          <w:lang w:eastAsia="fr-FR"/>
        </w:rPr>
        <w:t>evaluation, and results-based reporting.</w:t>
      </w:r>
      <w:r w:rsidR="00351D0E" w:rsidRPr="002178D9">
        <w:rPr>
          <w:rFonts w:ascii="Calibri" w:eastAsia="Times New Roman" w:hAnsi="Calibri" w:cs="Calibri"/>
          <w:color w:val="000000" w:themeColor="text1"/>
          <w:lang w:eastAsia="fr-FR"/>
        </w:rPr>
        <w:t xml:space="preserve"> </w:t>
      </w:r>
    </w:p>
    <w:p w14:paraId="063E0579" w14:textId="7A3B4FF2" w:rsidR="00AC0774" w:rsidRPr="002178D9" w:rsidRDefault="00AC0774" w:rsidP="00351D0E">
      <w:pPr>
        <w:numPr>
          <w:ilvl w:val="0"/>
          <w:numId w:val="35"/>
        </w:numPr>
        <w:spacing w:after="0" w:line="240" w:lineRule="auto"/>
        <w:ind w:left="405"/>
        <w:rPr>
          <w:rFonts w:ascii="Calibri" w:eastAsia="Times New Roman" w:hAnsi="Calibri" w:cs="Calibri"/>
          <w:color w:val="000000" w:themeColor="text1"/>
          <w:lang w:eastAsia="fr-FR"/>
        </w:rPr>
      </w:pPr>
      <w:r w:rsidRPr="002178D9">
        <w:rPr>
          <w:rFonts w:ascii="Calibri" w:eastAsia="Times New Roman" w:hAnsi="Calibri" w:cs="Calibri"/>
          <w:color w:val="000000" w:themeColor="text1"/>
          <w:lang w:eastAsia="fr-FR"/>
        </w:rPr>
        <w:t xml:space="preserve">Develop/design </w:t>
      </w:r>
      <w:r w:rsidR="007A1B7E" w:rsidRPr="002178D9">
        <w:rPr>
          <w:rFonts w:ascii="Calibri" w:eastAsia="Times New Roman" w:hAnsi="Calibri" w:cs="Calibri"/>
          <w:color w:val="000000" w:themeColor="text1"/>
          <w:lang w:eastAsia="fr-FR"/>
        </w:rPr>
        <w:t xml:space="preserve">context-specific </w:t>
      </w:r>
      <w:r w:rsidR="001516A9" w:rsidRPr="002178D9">
        <w:rPr>
          <w:rFonts w:ascii="Calibri" w:eastAsia="Times New Roman" w:hAnsi="Calibri" w:cs="Calibri"/>
          <w:color w:val="000000" w:themeColor="text1"/>
          <w:lang w:eastAsia="fr-FR"/>
        </w:rPr>
        <w:t>tools to support CSO implementation, monitoring and reporting of interventions</w:t>
      </w:r>
      <w:r w:rsidR="00955E23" w:rsidRPr="002178D9">
        <w:rPr>
          <w:rFonts w:ascii="Calibri" w:eastAsia="Times New Roman" w:hAnsi="Calibri" w:cs="Calibri"/>
          <w:color w:val="000000" w:themeColor="text1"/>
          <w:lang w:eastAsia="fr-FR"/>
        </w:rPr>
        <w:t>.</w:t>
      </w:r>
    </w:p>
    <w:p w14:paraId="286BEAEF" w14:textId="0635793B" w:rsidR="00FC5E2F" w:rsidRPr="002178D9" w:rsidRDefault="00FC5E2F" w:rsidP="00351D0E">
      <w:pPr>
        <w:numPr>
          <w:ilvl w:val="0"/>
          <w:numId w:val="35"/>
        </w:numPr>
        <w:spacing w:after="0" w:line="240" w:lineRule="auto"/>
        <w:ind w:left="405"/>
        <w:rPr>
          <w:rFonts w:ascii="Calibri" w:eastAsia="Times New Roman" w:hAnsi="Calibri" w:cs="Calibri"/>
          <w:color w:val="000000" w:themeColor="text1"/>
          <w:lang w:eastAsia="fr-FR"/>
        </w:rPr>
      </w:pPr>
      <w:r w:rsidRPr="002178D9">
        <w:rPr>
          <w:rFonts w:ascii="Calibri" w:eastAsia="Times New Roman" w:hAnsi="Calibri" w:cs="Calibri"/>
          <w:color w:val="000000" w:themeColor="text1"/>
          <w:lang w:eastAsia="fr-FR"/>
        </w:rPr>
        <w:t>Organize exchanges (lessons learned, best practices) and networking activities amongst WPHF</w:t>
      </w:r>
      <w:r w:rsidR="00235D6F" w:rsidRPr="002178D9">
        <w:rPr>
          <w:rFonts w:ascii="Calibri" w:eastAsia="Times New Roman" w:hAnsi="Calibri" w:cs="Calibri"/>
          <w:color w:val="000000" w:themeColor="text1"/>
          <w:lang w:eastAsia="fr-FR"/>
        </w:rPr>
        <w:t xml:space="preserve">/Spotlight Initiative </w:t>
      </w:r>
      <w:r w:rsidRPr="002178D9">
        <w:rPr>
          <w:rFonts w:ascii="Calibri" w:eastAsia="Times New Roman" w:hAnsi="Calibri" w:cs="Calibri"/>
          <w:color w:val="000000" w:themeColor="text1"/>
          <w:lang w:eastAsia="fr-FR"/>
        </w:rPr>
        <w:t>grantees, contributing to Spotlight Initiative Outcome 6 (coalition building and mobilization)</w:t>
      </w:r>
    </w:p>
    <w:p w14:paraId="703C9CB5" w14:textId="77777777" w:rsidR="000239AA" w:rsidRPr="002178D9" w:rsidRDefault="000239AA" w:rsidP="000239AA">
      <w:pPr>
        <w:jc w:val="both"/>
        <w:rPr>
          <w:rFonts w:ascii="Calibri" w:eastAsia="Times New Roman" w:hAnsi="Calibri" w:cs="Calibri"/>
          <w:color w:val="000000" w:themeColor="text1"/>
          <w:lang w:eastAsia="fr-FR"/>
        </w:rPr>
      </w:pPr>
    </w:p>
    <w:p w14:paraId="34D9596C" w14:textId="7DE2FD75" w:rsidR="000239AA" w:rsidRPr="002178D9" w:rsidRDefault="000239AA" w:rsidP="003E15F2">
      <w:pPr>
        <w:jc w:val="both"/>
        <w:rPr>
          <w:rFonts w:ascii="Calibri" w:eastAsia="Times New Roman" w:hAnsi="Calibri" w:cs="Calibri"/>
          <w:color w:val="000000" w:themeColor="text1"/>
          <w:lang w:eastAsia="fr-FR"/>
        </w:rPr>
      </w:pPr>
      <w:r w:rsidRPr="002178D9">
        <w:rPr>
          <w:rFonts w:ascii="Calibri" w:eastAsia="Times New Roman" w:hAnsi="Calibri" w:cs="Calibri"/>
          <w:color w:val="000000" w:themeColor="text1"/>
          <w:lang w:eastAsia="fr-FR"/>
        </w:rPr>
        <w:t xml:space="preserve">This proposed partnership will </w:t>
      </w:r>
      <w:r w:rsidR="001E060F">
        <w:rPr>
          <w:rFonts w:ascii="Calibri" w:eastAsia="Times New Roman" w:hAnsi="Calibri" w:cs="Calibri"/>
          <w:color w:val="000000" w:themeColor="text1"/>
          <w:lang w:eastAsia="fr-FR"/>
        </w:rPr>
        <w:t xml:space="preserve">also </w:t>
      </w:r>
      <w:r w:rsidRPr="002178D9">
        <w:rPr>
          <w:rFonts w:ascii="Calibri" w:eastAsia="Times New Roman" w:hAnsi="Calibri" w:cs="Calibri"/>
          <w:color w:val="000000" w:themeColor="text1"/>
          <w:lang w:eastAsia="fr-FR"/>
        </w:rPr>
        <w:t>provide opportunities for local CSOs to network, exchange lessons learned and best practices contributing to women’s movement building in PNG on EVAW (SI outcome 6).</w:t>
      </w:r>
    </w:p>
    <w:p w14:paraId="13A5B7BD" w14:textId="77777777" w:rsidR="00FC5E2F" w:rsidRPr="002178D9" w:rsidRDefault="00FC5E2F" w:rsidP="00465858">
      <w:pPr>
        <w:spacing w:after="0" w:line="240" w:lineRule="auto"/>
        <w:rPr>
          <w:bCs/>
        </w:rPr>
      </w:pPr>
    </w:p>
    <w:p w14:paraId="17EE72D0" w14:textId="5A2C92F5" w:rsidR="002B6396" w:rsidRPr="002178D9" w:rsidRDefault="002B6396" w:rsidP="002B6396">
      <w:pPr>
        <w:pStyle w:val="ListParagraph"/>
        <w:numPr>
          <w:ilvl w:val="0"/>
          <w:numId w:val="1"/>
        </w:numPr>
        <w:spacing w:after="0" w:line="240" w:lineRule="auto"/>
        <w:ind w:left="360"/>
        <w:rPr>
          <w:b/>
        </w:rPr>
      </w:pPr>
      <w:r w:rsidRPr="002178D9">
        <w:rPr>
          <w:b/>
        </w:rPr>
        <w:t xml:space="preserve">Nature and </w:t>
      </w:r>
      <w:r w:rsidR="00CF67B3" w:rsidRPr="002178D9">
        <w:rPr>
          <w:b/>
        </w:rPr>
        <w:t>S</w:t>
      </w:r>
      <w:r w:rsidRPr="002178D9">
        <w:rPr>
          <w:b/>
        </w:rPr>
        <w:t>cope of the Call for Proposals</w:t>
      </w:r>
    </w:p>
    <w:p w14:paraId="6733409C" w14:textId="0BA2115B" w:rsidR="00711622" w:rsidRPr="002178D9" w:rsidRDefault="002B6396" w:rsidP="006528A4">
      <w:pPr>
        <w:spacing w:after="0" w:line="240" w:lineRule="auto"/>
        <w:jc w:val="both"/>
        <w:rPr>
          <w:bCs/>
        </w:rPr>
      </w:pPr>
      <w:r w:rsidRPr="002178D9">
        <w:t>The WPHF</w:t>
      </w:r>
      <w:r w:rsidR="003D5CD3" w:rsidRPr="002178D9">
        <w:t>-Spotlight partnership</w:t>
      </w:r>
      <w:r w:rsidR="00260D29" w:rsidRPr="002178D9">
        <w:t xml:space="preserve"> </w:t>
      </w:r>
      <w:r w:rsidRPr="002178D9">
        <w:t xml:space="preserve">will fund </w:t>
      </w:r>
      <w:r w:rsidR="00985522" w:rsidRPr="002178D9">
        <w:t xml:space="preserve">a </w:t>
      </w:r>
      <w:r w:rsidRPr="002178D9">
        <w:t xml:space="preserve">qualifying </w:t>
      </w:r>
      <w:r w:rsidR="00C37A19">
        <w:t xml:space="preserve">national, regional or international </w:t>
      </w:r>
      <w:r w:rsidR="00CF67B3" w:rsidRPr="002178D9">
        <w:t xml:space="preserve">NGO </w:t>
      </w:r>
      <w:r w:rsidR="003D5CD3" w:rsidRPr="002178D9">
        <w:t xml:space="preserve">with preferably presence </w:t>
      </w:r>
      <w:r w:rsidR="009E78FA" w:rsidRPr="002178D9">
        <w:t>or experience working with local grassroots organi</w:t>
      </w:r>
      <w:r w:rsidR="006D263B" w:rsidRPr="002178D9">
        <w:t>z</w:t>
      </w:r>
      <w:r w:rsidR="009E78FA" w:rsidRPr="002178D9">
        <w:t xml:space="preserve">ations </w:t>
      </w:r>
      <w:r w:rsidR="003D5CD3" w:rsidRPr="002178D9">
        <w:t>in</w:t>
      </w:r>
      <w:r w:rsidR="00CF67B3" w:rsidRPr="002178D9">
        <w:t xml:space="preserve"> Papua New Guinea</w:t>
      </w:r>
      <w:r w:rsidR="003D5CD3" w:rsidRPr="002178D9">
        <w:t>-</w:t>
      </w:r>
      <w:r w:rsidR="00CF67B3" w:rsidRPr="002178D9">
        <w:t xml:space="preserve"> </w:t>
      </w:r>
      <w:r w:rsidR="00985522" w:rsidRPr="002178D9">
        <w:t xml:space="preserve">to support CSOs that receive WPHF/Spotlight </w:t>
      </w:r>
      <w:r w:rsidR="001E060F">
        <w:t xml:space="preserve">Initiative </w:t>
      </w:r>
      <w:r w:rsidR="00985522" w:rsidRPr="002178D9">
        <w:t xml:space="preserve">funding. </w:t>
      </w:r>
      <w:r w:rsidR="00711622" w:rsidRPr="002178D9">
        <w:rPr>
          <w:bCs/>
        </w:rPr>
        <w:t xml:space="preserve">Special attention will be provided to applications </w:t>
      </w:r>
      <w:r w:rsidR="006528A4" w:rsidRPr="002178D9">
        <w:rPr>
          <w:bCs/>
        </w:rPr>
        <w:t xml:space="preserve">that have demonstrated experience in providing capacity building support to CSOs and grassroots organizations working on </w:t>
      </w:r>
      <w:r w:rsidR="00107C72" w:rsidRPr="002178D9">
        <w:rPr>
          <w:bCs/>
        </w:rPr>
        <w:t xml:space="preserve">EVAW, </w:t>
      </w:r>
      <w:r w:rsidR="006528A4" w:rsidRPr="002178D9">
        <w:rPr>
          <w:bCs/>
        </w:rPr>
        <w:t xml:space="preserve">protection issues for women and girls and civil society strengthening. </w:t>
      </w:r>
      <w:r w:rsidR="001E060F">
        <w:rPr>
          <w:bCs/>
        </w:rPr>
        <w:t>Special attention will also be provided to women-led and women’s rights/feminist applicants</w:t>
      </w:r>
      <w:r w:rsidR="001E060F">
        <w:rPr>
          <w:rStyle w:val="FootnoteReference"/>
          <w:bCs/>
        </w:rPr>
        <w:footnoteReference w:id="2"/>
      </w:r>
      <w:r w:rsidR="001E060F">
        <w:rPr>
          <w:bCs/>
        </w:rPr>
        <w:t xml:space="preserve"> </w:t>
      </w:r>
      <w:r w:rsidR="00954FC6">
        <w:rPr>
          <w:bCs/>
        </w:rPr>
        <w:t xml:space="preserve">and to </w:t>
      </w:r>
      <w:proofErr w:type="spellStart"/>
      <w:r w:rsidR="00954FC6">
        <w:rPr>
          <w:bCs/>
        </w:rPr>
        <w:t>organisations</w:t>
      </w:r>
      <w:proofErr w:type="spellEnd"/>
      <w:r w:rsidR="00954FC6">
        <w:rPr>
          <w:bCs/>
        </w:rPr>
        <w:t xml:space="preserve"> that apply f</w:t>
      </w:r>
      <w:r w:rsidR="00954FC6" w:rsidRPr="00954FC6">
        <w:rPr>
          <w:bCs/>
        </w:rPr>
        <w:t>eminist and gender-sensitive methodologie</w:t>
      </w:r>
      <w:r w:rsidR="00954FC6">
        <w:rPr>
          <w:bCs/>
        </w:rPr>
        <w:t>s.</w:t>
      </w:r>
    </w:p>
    <w:p w14:paraId="344297F5" w14:textId="77777777" w:rsidR="00711622" w:rsidRPr="002178D9" w:rsidRDefault="00711622" w:rsidP="00711622">
      <w:pPr>
        <w:spacing w:after="0" w:line="240" w:lineRule="auto"/>
      </w:pPr>
    </w:p>
    <w:p w14:paraId="6CD5AAC5" w14:textId="3BAA9215" w:rsidR="002B0418" w:rsidRPr="002178D9" w:rsidRDefault="002B0418" w:rsidP="002B0418">
      <w:pPr>
        <w:pStyle w:val="ListParagraph"/>
        <w:numPr>
          <w:ilvl w:val="0"/>
          <w:numId w:val="1"/>
        </w:numPr>
        <w:spacing w:after="0" w:line="240" w:lineRule="auto"/>
        <w:ind w:left="360"/>
        <w:rPr>
          <w:b/>
        </w:rPr>
      </w:pPr>
      <w:r w:rsidRPr="002178D9">
        <w:rPr>
          <w:b/>
        </w:rPr>
        <w:t xml:space="preserve">Duration of </w:t>
      </w:r>
      <w:r w:rsidR="008E6EEB" w:rsidRPr="002178D9">
        <w:rPr>
          <w:b/>
        </w:rPr>
        <w:t>Partnership</w:t>
      </w:r>
    </w:p>
    <w:p w14:paraId="5C054A2A" w14:textId="2F829120" w:rsidR="002B0418" w:rsidRPr="002178D9" w:rsidRDefault="007E6984" w:rsidP="00552679">
      <w:pPr>
        <w:spacing w:after="0" w:line="240" w:lineRule="auto"/>
      </w:pPr>
      <w:r w:rsidRPr="002178D9">
        <w:t xml:space="preserve">The </w:t>
      </w:r>
      <w:r w:rsidR="008E6EEB" w:rsidRPr="002178D9">
        <w:t xml:space="preserve">partnership </w:t>
      </w:r>
      <w:r w:rsidRPr="002178D9">
        <w:t xml:space="preserve">will </w:t>
      </w:r>
      <w:r w:rsidR="008E6EEB" w:rsidRPr="002178D9">
        <w:t xml:space="preserve">begin in </w:t>
      </w:r>
      <w:r w:rsidR="00C37A19">
        <w:t>April</w:t>
      </w:r>
      <w:r w:rsidR="00C37A19" w:rsidRPr="002178D9">
        <w:t xml:space="preserve"> </w:t>
      </w:r>
      <w:r w:rsidRPr="002178D9">
        <w:t xml:space="preserve">2021 </w:t>
      </w:r>
      <w:r w:rsidR="008E6EEB" w:rsidRPr="002178D9">
        <w:t>and end in</w:t>
      </w:r>
      <w:r w:rsidRPr="002178D9">
        <w:t xml:space="preserve"> </w:t>
      </w:r>
      <w:r w:rsidR="00380762" w:rsidRPr="002178D9">
        <w:t xml:space="preserve">December 2022. </w:t>
      </w:r>
      <w:r w:rsidRPr="002178D9">
        <w:t xml:space="preserve"> </w:t>
      </w:r>
    </w:p>
    <w:p w14:paraId="51FB1E2D" w14:textId="489A6A1A" w:rsidR="002B0418" w:rsidRPr="002178D9" w:rsidRDefault="002B0418" w:rsidP="002B0418">
      <w:pPr>
        <w:spacing w:after="0" w:line="240" w:lineRule="auto"/>
        <w:ind w:left="360"/>
      </w:pPr>
    </w:p>
    <w:p w14:paraId="4832DE8D" w14:textId="25E2820A" w:rsidR="002B0418" w:rsidRPr="002178D9" w:rsidRDefault="002B0418" w:rsidP="002B0418">
      <w:pPr>
        <w:pStyle w:val="ListParagraph"/>
        <w:numPr>
          <w:ilvl w:val="0"/>
          <w:numId w:val="1"/>
        </w:numPr>
        <w:spacing w:after="0" w:line="240" w:lineRule="auto"/>
        <w:ind w:left="360"/>
        <w:rPr>
          <w:b/>
          <w:bCs/>
        </w:rPr>
      </w:pPr>
      <w:r w:rsidRPr="002178D9">
        <w:rPr>
          <w:b/>
          <w:bCs/>
        </w:rPr>
        <w:t>Location</w:t>
      </w:r>
    </w:p>
    <w:p w14:paraId="11FE74A9" w14:textId="77777777" w:rsidR="001F375E" w:rsidRPr="002178D9" w:rsidRDefault="001F375E" w:rsidP="001F375E">
      <w:pPr>
        <w:spacing w:after="0"/>
        <w:jc w:val="both"/>
      </w:pPr>
      <w:r w:rsidRPr="002178D9">
        <w:t xml:space="preserve">Institutional support will be provided to grantees situated across PNG, including Eastern Highlands, Chimbu, Southern Highlands, Hela, </w:t>
      </w:r>
      <w:r>
        <w:t xml:space="preserve">Enga, </w:t>
      </w:r>
      <w:r w:rsidRPr="002178D9">
        <w:t xml:space="preserve">West Sepik, East New Britain, Western, Jiwaka and NCD. It is expected that the </w:t>
      </w:r>
      <w:r>
        <w:t>N/R/</w:t>
      </w:r>
      <w:r w:rsidRPr="002178D9">
        <w:t>INGO will provide</w:t>
      </w:r>
      <w:r>
        <w:t xml:space="preserve"> to grantees wherever as possible</w:t>
      </w:r>
      <w:r w:rsidRPr="002178D9">
        <w:t xml:space="preserve"> </w:t>
      </w:r>
      <w:r w:rsidRPr="00F3771B">
        <w:rPr>
          <w:b/>
        </w:rPr>
        <w:t xml:space="preserve">in-person support </w:t>
      </w:r>
      <w:r>
        <w:t xml:space="preserve">or </w:t>
      </w:r>
      <w:r w:rsidRPr="001F375E">
        <w:rPr>
          <w:b/>
        </w:rPr>
        <w:t>remotely</w:t>
      </w:r>
      <w:r>
        <w:t>, adhering to the existing COVID19 restrictions</w:t>
      </w:r>
      <w:r w:rsidRPr="002178D9">
        <w:t xml:space="preserve">. </w:t>
      </w:r>
    </w:p>
    <w:p w14:paraId="4EE41F0A" w14:textId="77777777" w:rsidR="002B0418" w:rsidRPr="002178D9" w:rsidRDefault="002B0418" w:rsidP="002B0418">
      <w:pPr>
        <w:spacing w:after="0" w:line="240" w:lineRule="auto"/>
        <w:rPr>
          <w:b/>
          <w:bCs/>
        </w:rPr>
      </w:pPr>
    </w:p>
    <w:p w14:paraId="29C173EC" w14:textId="6C7A5832" w:rsidR="002B0418" w:rsidRPr="002178D9" w:rsidRDefault="00E0189B" w:rsidP="002B0418">
      <w:pPr>
        <w:pStyle w:val="ListParagraph"/>
        <w:numPr>
          <w:ilvl w:val="0"/>
          <w:numId w:val="1"/>
        </w:numPr>
        <w:spacing w:after="0" w:line="240" w:lineRule="auto"/>
        <w:ind w:left="360"/>
        <w:rPr>
          <w:b/>
          <w:bCs/>
        </w:rPr>
      </w:pPr>
      <w:r w:rsidRPr="002178D9">
        <w:rPr>
          <w:b/>
          <w:bCs/>
        </w:rPr>
        <w:t xml:space="preserve">Size of Grants and </w:t>
      </w:r>
      <w:r w:rsidR="002B0418" w:rsidRPr="002178D9">
        <w:rPr>
          <w:b/>
          <w:bCs/>
        </w:rPr>
        <w:t xml:space="preserve">Funding </w:t>
      </w:r>
      <w:r w:rsidR="003D024D" w:rsidRPr="002178D9">
        <w:rPr>
          <w:b/>
          <w:bCs/>
        </w:rPr>
        <w:t>A</w:t>
      </w:r>
      <w:r w:rsidR="002B0418" w:rsidRPr="002178D9">
        <w:rPr>
          <w:b/>
          <w:bCs/>
        </w:rPr>
        <w:t>mount</w:t>
      </w:r>
    </w:p>
    <w:p w14:paraId="501E4DCD" w14:textId="37DC397C" w:rsidR="003D024D" w:rsidRPr="002178D9" w:rsidRDefault="00E0189B" w:rsidP="00E0450C">
      <w:pPr>
        <w:spacing w:after="0" w:line="240" w:lineRule="auto"/>
        <w:jc w:val="both"/>
      </w:pPr>
      <w:r w:rsidRPr="002178D9">
        <w:t xml:space="preserve">The WPHF will grant a maximum of </w:t>
      </w:r>
      <w:r w:rsidR="003D024D" w:rsidRPr="00234843">
        <w:rPr>
          <w:b/>
          <w:bCs/>
        </w:rPr>
        <w:t>$20</w:t>
      </w:r>
      <w:r w:rsidR="00185F8C" w:rsidRPr="00234843">
        <w:rPr>
          <w:b/>
          <w:bCs/>
        </w:rPr>
        <w:t>0,0</w:t>
      </w:r>
      <w:r w:rsidR="003D024D" w:rsidRPr="00234843">
        <w:rPr>
          <w:b/>
          <w:bCs/>
        </w:rPr>
        <w:t xml:space="preserve">00 </w:t>
      </w:r>
      <w:r w:rsidR="00E0450C" w:rsidRPr="00234843">
        <w:rPr>
          <w:b/>
          <w:bCs/>
        </w:rPr>
        <w:t>USD</w:t>
      </w:r>
      <w:r w:rsidR="00E0450C" w:rsidRPr="002178D9">
        <w:t xml:space="preserve"> </w:t>
      </w:r>
      <w:r w:rsidR="003D024D" w:rsidRPr="002178D9">
        <w:t xml:space="preserve">to deliver the aforementioned activities and support to local </w:t>
      </w:r>
      <w:r w:rsidR="00185F8C" w:rsidRPr="002178D9">
        <w:t>organizations</w:t>
      </w:r>
      <w:r w:rsidR="00A81734" w:rsidRPr="002178D9">
        <w:t xml:space="preserve"> until December 2022</w:t>
      </w:r>
      <w:r w:rsidR="00185F8C" w:rsidRPr="002178D9">
        <w:t xml:space="preserve">. This includes all costs related to travel and logistics, </w:t>
      </w:r>
      <w:r w:rsidR="00F332FC" w:rsidRPr="002178D9">
        <w:t xml:space="preserve">training initiatives and </w:t>
      </w:r>
      <w:r w:rsidR="00E0450C" w:rsidRPr="002178D9">
        <w:t xml:space="preserve">contribution to staff costs. </w:t>
      </w:r>
    </w:p>
    <w:p w14:paraId="593A0E45" w14:textId="0F4834E2" w:rsidR="0099066B" w:rsidRPr="002178D9" w:rsidRDefault="0099066B" w:rsidP="000B7AA6">
      <w:pPr>
        <w:spacing w:after="0"/>
      </w:pPr>
    </w:p>
    <w:p w14:paraId="5162CE24" w14:textId="0DB57ED6" w:rsidR="004057AB" w:rsidRPr="002178D9" w:rsidRDefault="004057AB" w:rsidP="004057AB">
      <w:pPr>
        <w:pStyle w:val="ListParagraph"/>
        <w:numPr>
          <w:ilvl w:val="0"/>
          <w:numId w:val="1"/>
        </w:numPr>
        <w:spacing w:after="0" w:line="240" w:lineRule="auto"/>
        <w:ind w:left="360"/>
        <w:rPr>
          <w:b/>
        </w:rPr>
      </w:pPr>
      <w:r w:rsidRPr="002178D9">
        <w:rPr>
          <w:b/>
        </w:rPr>
        <w:t>Eligibility, Application, and Selection Process</w:t>
      </w:r>
    </w:p>
    <w:p w14:paraId="568B190A" w14:textId="77777777" w:rsidR="004057AB" w:rsidRPr="002178D9" w:rsidRDefault="004057AB" w:rsidP="004057AB">
      <w:pPr>
        <w:spacing w:after="0" w:line="240" w:lineRule="auto"/>
        <w:ind w:firstLine="360"/>
        <w:rPr>
          <w:b/>
        </w:rPr>
      </w:pPr>
    </w:p>
    <w:p w14:paraId="314C65EE" w14:textId="6D309046" w:rsidR="004057AB" w:rsidRPr="002178D9" w:rsidRDefault="00A81734" w:rsidP="00552679">
      <w:pPr>
        <w:spacing w:after="0" w:line="240" w:lineRule="auto"/>
        <w:rPr>
          <w:b/>
        </w:rPr>
      </w:pPr>
      <w:r w:rsidRPr="002178D9">
        <w:rPr>
          <w:b/>
        </w:rPr>
        <w:lastRenderedPageBreak/>
        <w:t>8</w:t>
      </w:r>
      <w:r w:rsidR="004057AB" w:rsidRPr="002178D9">
        <w:rPr>
          <w:b/>
        </w:rPr>
        <w:t xml:space="preserve">.1. Who is </w:t>
      </w:r>
      <w:r w:rsidR="00E4681C" w:rsidRPr="002178D9">
        <w:rPr>
          <w:b/>
        </w:rPr>
        <w:t>E</w:t>
      </w:r>
      <w:r w:rsidR="004057AB" w:rsidRPr="002178D9">
        <w:rPr>
          <w:b/>
        </w:rPr>
        <w:t xml:space="preserve">ligible to </w:t>
      </w:r>
      <w:r w:rsidR="00E4681C" w:rsidRPr="002178D9">
        <w:rPr>
          <w:b/>
        </w:rPr>
        <w:t>A</w:t>
      </w:r>
      <w:r w:rsidR="004057AB" w:rsidRPr="002178D9">
        <w:rPr>
          <w:b/>
        </w:rPr>
        <w:t>pply?</w:t>
      </w:r>
    </w:p>
    <w:p w14:paraId="5AEF385F" w14:textId="6BDF2738" w:rsidR="004057AB" w:rsidRPr="002178D9" w:rsidRDefault="00C37A19" w:rsidP="00552679">
      <w:pPr>
        <w:spacing w:after="0" w:line="240" w:lineRule="auto"/>
        <w:jc w:val="both"/>
      </w:pPr>
      <w:r>
        <w:t xml:space="preserve">National, Regional and </w:t>
      </w:r>
      <w:r w:rsidR="004057AB" w:rsidRPr="002178D9">
        <w:t>International</w:t>
      </w:r>
      <w:r w:rsidR="004057AB" w:rsidRPr="002178D9">
        <w:rPr>
          <w:rStyle w:val="FootnoteReference"/>
        </w:rPr>
        <w:footnoteReference w:id="3"/>
      </w:r>
      <w:r w:rsidR="00E4681C" w:rsidRPr="002178D9">
        <w:t xml:space="preserve"> Non-Governmental Organizations (NGOs) who </w:t>
      </w:r>
      <w:r w:rsidR="00E86A4A" w:rsidRPr="002178D9">
        <w:t xml:space="preserve">have experience working with local CSOs in PNG </w:t>
      </w:r>
      <w:r w:rsidR="00E4681C" w:rsidRPr="002178D9">
        <w:t>are eligible to apply</w:t>
      </w:r>
      <w:r w:rsidR="00BD11C3" w:rsidRPr="002178D9">
        <w:t xml:space="preserve"> and who have a proven t</w:t>
      </w:r>
      <w:r w:rsidR="004057AB" w:rsidRPr="002178D9">
        <w:t xml:space="preserve">rack record working </w:t>
      </w:r>
      <w:r w:rsidR="00BD11C3" w:rsidRPr="002178D9">
        <w:t xml:space="preserve">on </w:t>
      </w:r>
      <w:r w:rsidR="004C0259" w:rsidRPr="002178D9">
        <w:t>women’s rights</w:t>
      </w:r>
      <w:r>
        <w:t xml:space="preserve">, </w:t>
      </w:r>
      <w:r>
        <w:rPr>
          <w:bCs/>
        </w:rPr>
        <w:t>feminist</w:t>
      </w:r>
      <w:r w:rsidR="005A4625">
        <w:rPr>
          <w:bCs/>
        </w:rPr>
        <w:t xml:space="preserve"> and human-rights based</w:t>
      </w:r>
      <w:r>
        <w:rPr>
          <w:bCs/>
        </w:rPr>
        <w:t xml:space="preserve"> principles</w:t>
      </w:r>
      <w:r w:rsidR="004C0259" w:rsidRPr="002178D9">
        <w:t xml:space="preserve">, </w:t>
      </w:r>
      <w:r w:rsidR="001516A9" w:rsidRPr="002178D9">
        <w:t xml:space="preserve">addressing violence against women and girls, </w:t>
      </w:r>
      <w:r w:rsidR="00144392" w:rsidRPr="002178D9">
        <w:t xml:space="preserve">protection issues of </w:t>
      </w:r>
      <w:r w:rsidR="004057AB" w:rsidRPr="002178D9">
        <w:t>women and girls</w:t>
      </w:r>
      <w:r w:rsidR="00007C16" w:rsidRPr="002178D9">
        <w:t>,</w:t>
      </w:r>
      <w:r w:rsidR="00144392" w:rsidRPr="002178D9">
        <w:t xml:space="preserve"> and institutional capacity building</w:t>
      </w:r>
      <w:r w:rsidR="004057AB" w:rsidRPr="002178D9">
        <w:t xml:space="preserve">. </w:t>
      </w:r>
      <w:r>
        <w:t>CSO</w:t>
      </w:r>
      <w:r w:rsidRPr="002178D9">
        <w:t xml:space="preserve"> </w:t>
      </w:r>
      <w:r w:rsidR="004C0259" w:rsidRPr="002178D9">
        <w:t xml:space="preserve">consortiums are also eligible. </w:t>
      </w:r>
    </w:p>
    <w:p w14:paraId="4B5537F6" w14:textId="77777777" w:rsidR="00A41068" w:rsidRPr="002178D9" w:rsidRDefault="00A41068" w:rsidP="00E4681C">
      <w:pPr>
        <w:spacing w:after="0" w:line="240" w:lineRule="auto"/>
        <w:jc w:val="both"/>
      </w:pPr>
    </w:p>
    <w:p w14:paraId="1F1FF26F" w14:textId="5EA9E156" w:rsidR="004057AB" w:rsidRPr="002178D9" w:rsidRDefault="004057AB" w:rsidP="009A73DE">
      <w:pPr>
        <w:pStyle w:val="CommentText"/>
        <w:spacing w:after="0"/>
        <w:rPr>
          <w:sz w:val="22"/>
          <w:szCs w:val="22"/>
        </w:rPr>
      </w:pPr>
      <w:r w:rsidRPr="002178D9">
        <w:rPr>
          <w:sz w:val="22"/>
          <w:szCs w:val="22"/>
        </w:rPr>
        <w:t>The following are NOT eligible to apply:</w:t>
      </w:r>
    </w:p>
    <w:p w14:paraId="538AFD5E" w14:textId="77777777" w:rsidR="004057AB" w:rsidRPr="002178D9" w:rsidRDefault="004057AB" w:rsidP="009A73DE">
      <w:pPr>
        <w:pStyle w:val="CommentText"/>
        <w:numPr>
          <w:ilvl w:val="0"/>
          <w:numId w:val="24"/>
        </w:numPr>
        <w:spacing w:after="0"/>
        <w:ind w:left="540"/>
        <w:rPr>
          <w:sz w:val="22"/>
          <w:szCs w:val="22"/>
        </w:rPr>
      </w:pPr>
      <w:r w:rsidRPr="002178D9">
        <w:rPr>
          <w:sz w:val="22"/>
          <w:szCs w:val="22"/>
        </w:rPr>
        <w:t>Government agencies or institutions;</w:t>
      </w:r>
    </w:p>
    <w:p w14:paraId="1626ECC5" w14:textId="77777777" w:rsidR="004057AB" w:rsidRPr="002178D9" w:rsidRDefault="004057AB" w:rsidP="009A73DE">
      <w:pPr>
        <w:pStyle w:val="CommentText"/>
        <w:numPr>
          <w:ilvl w:val="0"/>
          <w:numId w:val="24"/>
        </w:numPr>
        <w:spacing w:after="0"/>
        <w:ind w:left="540"/>
        <w:rPr>
          <w:sz w:val="22"/>
          <w:szCs w:val="22"/>
        </w:rPr>
      </w:pPr>
      <w:r w:rsidRPr="002178D9">
        <w:rPr>
          <w:sz w:val="22"/>
          <w:szCs w:val="22"/>
        </w:rPr>
        <w:t>UN agencies or UN Country Teams;</w:t>
      </w:r>
    </w:p>
    <w:p w14:paraId="6E561170" w14:textId="77777777" w:rsidR="004057AB" w:rsidRPr="002178D9" w:rsidRDefault="004057AB" w:rsidP="009A73DE">
      <w:pPr>
        <w:pStyle w:val="CommentText"/>
        <w:numPr>
          <w:ilvl w:val="0"/>
          <w:numId w:val="24"/>
        </w:numPr>
        <w:spacing w:after="0"/>
        <w:ind w:left="540"/>
        <w:rPr>
          <w:sz w:val="22"/>
          <w:szCs w:val="22"/>
        </w:rPr>
      </w:pPr>
      <w:r w:rsidRPr="002178D9">
        <w:rPr>
          <w:sz w:val="22"/>
          <w:szCs w:val="22"/>
        </w:rPr>
        <w:t>Private individuals;</w:t>
      </w:r>
    </w:p>
    <w:p w14:paraId="76E7E7A7" w14:textId="77777777" w:rsidR="004057AB" w:rsidRPr="002178D9" w:rsidRDefault="004057AB" w:rsidP="009A73DE">
      <w:pPr>
        <w:pStyle w:val="CommentText"/>
        <w:numPr>
          <w:ilvl w:val="0"/>
          <w:numId w:val="24"/>
        </w:numPr>
        <w:spacing w:after="0"/>
        <w:ind w:left="540"/>
        <w:rPr>
          <w:sz w:val="22"/>
          <w:szCs w:val="22"/>
        </w:rPr>
      </w:pPr>
      <w:r w:rsidRPr="002178D9">
        <w:rPr>
          <w:sz w:val="22"/>
          <w:szCs w:val="22"/>
        </w:rPr>
        <w:t>Private sector entities;</w:t>
      </w:r>
    </w:p>
    <w:p w14:paraId="39AED626" w14:textId="77777777" w:rsidR="004057AB" w:rsidRPr="002178D9" w:rsidRDefault="004057AB" w:rsidP="009A73DE">
      <w:pPr>
        <w:pStyle w:val="CommentText"/>
        <w:numPr>
          <w:ilvl w:val="0"/>
          <w:numId w:val="24"/>
        </w:numPr>
        <w:spacing w:after="0"/>
        <w:ind w:left="540"/>
      </w:pPr>
      <w:r w:rsidRPr="002178D9">
        <w:rPr>
          <w:sz w:val="22"/>
          <w:szCs w:val="22"/>
        </w:rPr>
        <w:t>Universities and Education institutions</w:t>
      </w:r>
    </w:p>
    <w:p w14:paraId="035A399D" w14:textId="77777777" w:rsidR="004057AB" w:rsidRPr="002178D9" w:rsidRDefault="004057AB" w:rsidP="004057AB">
      <w:pPr>
        <w:spacing w:after="0" w:line="240" w:lineRule="auto"/>
      </w:pPr>
    </w:p>
    <w:p w14:paraId="1DAD886F" w14:textId="0035BB8E" w:rsidR="004057AB" w:rsidRPr="002178D9" w:rsidRDefault="004057AB" w:rsidP="00375EA4">
      <w:pPr>
        <w:spacing w:after="0" w:line="240" w:lineRule="auto"/>
        <w:ind w:left="180"/>
        <w:jc w:val="both"/>
      </w:pPr>
      <w:r w:rsidRPr="002178D9">
        <w:t>A proof of legal registration (or legal status)</w:t>
      </w:r>
      <w:r w:rsidR="000D2C6D">
        <w:t xml:space="preserve"> </w:t>
      </w:r>
      <w:r w:rsidRPr="002178D9">
        <w:t xml:space="preserve">is a required attachment for any grant application. Applications without clear proof of legal status will be considered incomplete and will be withdrawn from the application process. Note that articles of incorporation are </w:t>
      </w:r>
      <w:r w:rsidRPr="000D2C6D">
        <w:rPr>
          <w:b/>
          <w:bCs/>
          <w:u w:val="single"/>
        </w:rPr>
        <w:t>not</w:t>
      </w:r>
      <w:r w:rsidRPr="002178D9">
        <w:t xml:space="preserve"> proof of legal status. </w:t>
      </w:r>
    </w:p>
    <w:p w14:paraId="2557C871" w14:textId="77777777" w:rsidR="004057AB" w:rsidRPr="002178D9" w:rsidRDefault="004057AB" w:rsidP="009A73DE">
      <w:pPr>
        <w:spacing w:after="0" w:line="240" w:lineRule="auto"/>
        <w:ind w:left="180"/>
      </w:pPr>
    </w:p>
    <w:p w14:paraId="29058893" w14:textId="0005177D" w:rsidR="004057AB" w:rsidRPr="002178D9" w:rsidRDefault="00D03993" w:rsidP="00D03993">
      <w:pPr>
        <w:spacing w:after="0" w:line="240" w:lineRule="auto"/>
        <w:rPr>
          <w:b/>
        </w:rPr>
      </w:pPr>
      <w:r w:rsidRPr="002178D9">
        <w:rPr>
          <w:b/>
        </w:rPr>
        <w:t>8.2</w:t>
      </w:r>
      <w:r w:rsidR="004057AB" w:rsidRPr="002178D9">
        <w:rPr>
          <w:b/>
        </w:rPr>
        <w:t xml:space="preserve">. </w:t>
      </w:r>
      <w:r w:rsidRPr="002178D9">
        <w:rPr>
          <w:b/>
        </w:rPr>
        <w:t>Eligibility Criteria</w:t>
      </w:r>
    </w:p>
    <w:p w14:paraId="65D01149" w14:textId="28ED1717" w:rsidR="00D03993" w:rsidRPr="002178D9" w:rsidRDefault="00D03993" w:rsidP="00D03993">
      <w:pPr>
        <w:autoSpaceDE w:val="0"/>
        <w:autoSpaceDN w:val="0"/>
        <w:adjustRightInd w:val="0"/>
        <w:spacing w:after="0" w:line="240" w:lineRule="auto"/>
        <w:rPr>
          <w:rFonts w:ascii="Calibri" w:hAnsi="Calibri" w:cs="Calibri"/>
          <w:lang w:val="en-CA"/>
        </w:rPr>
      </w:pPr>
      <w:r w:rsidRPr="002178D9">
        <w:rPr>
          <w:rFonts w:ascii="Calibri" w:hAnsi="Calibri" w:cs="Calibri"/>
          <w:lang w:val="en-CA"/>
        </w:rPr>
        <w:t xml:space="preserve">NGOs who submit applications to this Call for Proposals will undergo a technical review based on the answers in the Proposal Template. Applicants should be able to demonstrate the following: </w:t>
      </w:r>
    </w:p>
    <w:p w14:paraId="3DADD1E5" w14:textId="1FDA96D6" w:rsidR="0063282D" w:rsidRPr="002178D9" w:rsidRDefault="00CA2F8F" w:rsidP="00CA2F8F">
      <w:pPr>
        <w:pStyle w:val="ListParagraph"/>
        <w:numPr>
          <w:ilvl w:val="0"/>
          <w:numId w:val="37"/>
        </w:numPr>
        <w:autoSpaceDE w:val="0"/>
        <w:autoSpaceDN w:val="0"/>
        <w:adjustRightInd w:val="0"/>
        <w:spacing w:after="0" w:line="240" w:lineRule="auto"/>
        <w:ind w:left="720"/>
        <w:rPr>
          <w:rFonts w:ascii="Calibri" w:hAnsi="Calibri" w:cs="Calibri"/>
          <w:lang w:val="en-CA"/>
        </w:rPr>
      </w:pPr>
      <w:r w:rsidRPr="002178D9">
        <w:rPr>
          <w:rFonts w:ascii="Calibri" w:hAnsi="Calibri" w:cs="Calibri"/>
          <w:lang w:val="en-CA"/>
        </w:rPr>
        <w:t xml:space="preserve">Experience </w:t>
      </w:r>
      <w:r w:rsidR="0048448D" w:rsidRPr="002178D9">
        <w:rPr>
          <w:rFonts w:ascii="Calibri" w:hAnsi="Calibri" w:cs="Calibri"/>
          <w:lang w:val="en-CA"/>
        </w:rPr>
        <w:t xml:space="preserve">and track record of </w:t>
      </w:r>
      <w:r w:rsidR="00A02EF7" w:rsidRPr="002178D9">
        <w:rPr>
          <w:rFonts w:ascii="Calibri" w:hAnsi="Calibri" w:cs="Calibri"/>
          <w:lang w:val="en-CA"/>
        </w:rPr>
        <w:t xml:space="preserve">working on programming and issues related to </w:t>
      </w:r>
      <w:r w:rsidR="0063282D" w:rsidRPr="002178D9">
        <w:rPr>
          <w:rFonts w:ascii="Calibri" w:hAnsi="Calibri" w:cs="Calibri"/>
          <w:lang w:val="en-CA"/>
        </w:rPr>
        <w:t>violence against women and girls, protection issues of women and girls</w:t>
      </w:r>
      <w:r w:rsidR="005C3C5E" w:rsidRPr="002178D9">
        <w:rPr>
          <w:rFonts w:ascii="Calibri" w:hAnsi="Calibri" w:cs="Calibri"/>
          <w:lang w:val="en-CA"/>
        </w:rPr>
        <w:t>.</w:t>
      </w:r>
    </w:p>
    <w:p w14:paraId="706CD0E2" w14:textId="750A6D41" w:rsidR="0048448D" w:rsidRPr="002178D9" w:rsidRDefault="0048448D" w:rsidP="00CA2F8F">
      <w:pPr>
        <w:pStyle w:val="ListParagraph"/>
        <w:numPr>
          <w:ilvl w:val="0"/>
          <w:numId w:val="37"/>
        </w:numPr>
        <w:autoSpaceDE w:val="0"/>
        <w:autoSpaceDN w:val="0"/>
        <w:adjustRightInd w:val="0"/>
        <w:spacing w:after="0" w:line="240" w:lineRule="auto"/>
        <w:ind w:left="720"/>
        <w:rPr>
          <w:rFonts w:ascii="Calibri" w:hAnsi="Calibri" w:cs="Calibri"/>
          <w:lang w:val="en-CA"/>
        </w:rPr>
      </w:pPr>
      <w:r w:rsidRPr="002178D9">
        <w:rPr>
          <w:rFonts w:ascii="Calibri" w:hAnsi="Calibri" w:cs="Calibri"/>
          <w:lang w:val="en-CA"/>
        </w:rPr>
        <w:t>Demonstrated t</w:t>
      </w:r>
      <w:r w:rsidR="00A479DB" w:rsidRPr="002178D9">
        <w:rPr>
          <w:rFonts w:ascii="Calibri" w:hAnsi="Calibri" w:cs="Calibri"/>
          <w:lang w:val="en-CA"/>
        </w:rPr>
        <w:t xml:space="preserve">echnical expertise on </w:t>
      </w:r>
      <w:r w:rsidRPr="002178D9">
        <w:rPr>
          <w:rFonts w:ascii="Calibri" w:hAnsi="Calibri" w:cs="Calibri"/>
          <w:lang w:val="en-CA"/>
        </w:rPr>
        <w:t>institutional strengthening of civil society organizations, particularly women’s rights organizations addressing violence and protection issues of women and girls</w:t>
      </w:r>
    </w:p>
    <w:p w14:paraId="2C0E4330" w14:textId="5EBA979E" w:rsidR="00A845EA" w:rsidRPr="002178D9" w:rsidRDefault="00A845EA" w:rsidP="00CA2F8F">
      <w:pPr>
        <w:pStyle w:val="ListParagraph"/>
        <w:numPr>
          <w:ilvl w:val="0"/>
          <w:numId w:val="37"/>
        </w:numPr>
        <w:autoSpaceDE w:val="0"/>
        <w:autoSpaceDN w:val="0"/>
        <w:adjustRightInd w:val="0"/>
        <w:spacing w:after="0" w:line="240" w:lineRule="auto"/>
        <w:ind w:left="720"/>
        <w:rPr>
          <w:rFonts w:ascii="Calibri" w:hAnsi="Calibri" w:cs="Calibri"/>
          <w:lang w:val="en-CA"/>
        </w:rPr>
      </w:pPr>
      <w:r w:rsidRPr="002178D9">
        <w:rPr>
          <w:rFonts w:ascii="Calibri" w:hAnsi="Calibri" w:cs="Calibri"/>
          <w:lang w:val="en-CA"/>
        </w:rPr>
        <w:t>Experience in financial management and reporting</w:t>
      </w:r>
      <w:r w:rsidR="00C93628">
        <w:rPr>
          <w:rFonts w:ascii="Calibri" w:hAnsi="Calibri" w:cs="Calibri"/>
          <w:lang w:val="en-CA"/>
        </w:rPr>
        <w:t>, including with the UN</w:t>
      </w:r>
      <w:r w:rsidRPr="002178D9">
        <w:rPr>
          <w:rFonts w:ascii="Calibri" w:hAnsi="Calibri" w:cs="Calibri"/>
          <w:lang w:val="en-CA"/>
        </w:rPr>
        <w:t xml:space="preserve"> </w:t>
      </w:r>
    </w:p>
    <w:p w14:paraId="5C268FAD" w14:textId="6E112036" w:rsidR="002B29D4" w:rsidRPr="002178D9" w:rsidRDefault="002B29D4" w:rsidP="00CA2F8F">
      <w:pPr>
        <w:pStyle w:val="ListParagraph"/>
        <w:numPr>
          <w:ilvl w:val="0"/>
          <w:numId w:val="37"/>
        </w:numPr>
        <w:autoSpaceDE w:val="0"/>
        <w:autoSpaceDN w:val="0"/>
        <w:adjustRightInd w:val="0"/>
        <w:spacing w:after="0" w:line="240" w:lineRule="auto"/>
        <w:ind w:left="720"/>
        <w:rPr>
          <w:rFonts w:ascii="Calibri" w:hAnsi="Calibri" w:cs="Calibri"/>
          <w:lang w:val="en-CA"/>
        </w:rPr>
      </w:pPr>
      <w:r w:rsidRPr="002178D9">
        <w:rPr>
          <w:rFonts w:ascii="Calibri" w:hAnsi="Calibri" w:cs="Calibri"/>
          <w:lang w:val="en-CA"/>
        </w:rPr>
        <w:t>Experience in participatory and inclusive approaches for institutional strengthening, monitoring and advisory services</w:t>
      </w:r>
      <w:r w:rsidR="005C3C5E" w:rsidRPr="002178D9">
        <w:rPr>
          <w:rFonts w:ascii="Calibri" w:hAnsi="Calibri" w:cs="Calibri"/>
          <w:lang w:val="en-CA"/>
        </w:rPr>
        <w:t>.</w:t>
      </w:r>
    </w:p>
    <w:p w14:paraId="217C44B3" w14:textId="51C94DE4" w:rsidR="00A02EF7" w:rsidRPr="002178D9" w:rsidRDefault="00A02EF7" w:rsidP="00CA2F8F">
      <w:pPr>
        <w:autoSpaceDE w:val="0"/>
        <w:autoSpaceDN w:val="0"/>
        <w:adjustRightInd w:val="0"/>
        <w:spacing w:after="0" w:line="240" w:lineRule="auto"/>
        <w:rPr>
          <w:rFonts w:ascii="Calibri" w:hAnsi="Calibri" w:cs="Calibri"/>
          <w:lang w:val="en-CA"/>
        </w:rPr>
      </w:pPr>
    </w:p>
    <w:p w14:paraId="32BE11C0" w14:textId="32DD0E8B" w:rsidR="001C39E8" w:rsidRPr="002178D9" w:rsidRDefault="00B02C13" w:rsidP="00CA2F8F">
      <w:pPr>
        <w:autoSpaceDE w:val="0"/>
        <w:autoSpaceDN w:val="0"/>
        <w:adjustRightInd w:val="0"/>
        <w:spacing w:after="0" w:line="240" w:lineRule="auto"/>
        <w:rPr>
          <w:rFonts w:ascii="Calibri" w:hAnsi="Calibri" w:cs="Calibri"/>
          <w:lang w:val="en-CA"/>
        </w:rPr>
      </w:pPr>
      <w:r w:rsidRPr="002178D9">
        <w:rPr>
          <w:rFonts w:ascii="Calibri" w:hAnsi="Calibri" w:cs="Calibri"/>
          <w:lang w:val="en-CA"/>
        </w:rPr>
        <w:t>Evaluation criteria are found in Section 9.2</w:t>
      </w:r>
    </w:p>
    <w:p w14:paraId="7BB8AC90" w14:textId="77777777" w:rsidR="00B02C13" w:rsidRPr="002178D9" w:rsidRDefault="00B02C13" w:rsidP="00CA2F8F">
      <w:pPr>
        <w:autoSpaceDE w:val="0"/>
        <w:autoSpaceDN w:val="0"/>
        <w:adjustRightInd w:val="0"/>
        <w:spacing w:after="0" w:line="240" w:lineRule="auto"/>
        <w:rPr>
          <w:rFonts w:ascii="Calibri" w:hAnsi="Calibri" w:cs="Calibri"/>
          <w:lang w:val="en-CA"/>
        </w:rPr>
      </w:pPr>
    </w:p>
    <w:p w14:paraId="53745C31" w14:textId="2A34BBDD" w:rsidR="00D7648C" w:rsidRPr="002178D9" w:rsidRDefault="00D7648C" w:rsidP="00D7648C">
      <w:pPr>
        <w:spacing w:after="0" w:line="240" w:lineRule="auto"/>
        <w:rPr>
          <w:b/>
        </w:rPr>
      </w:pPr>
      <w:r w:rsidRPr="002178D9">
        <w:rPr>
          <w:b/>
        </w:rPr>
        <w:t>8.3. What is expected of successful applicants?</w:t>
      </w:r>
    </w:p>
    <w:p w14:paraId="0267D67A" w14:textId="0399C930" w:rsidR="00D7648C" w:rsidRPr="002178D9" w:rsidRDefault="00D7648C" w:rsidP="00DF1492">
      <w:pPr>
        <w:pStyle w:val="ListParagraph"/>
        <w:numPr>
          <w:ilvl w:val="0"/>
          <w:numId w:val="38"/>
        </w:numPr>
        <w:suppressAutoHyphens/>
        <w:spacing w:after="0" w:line="240" w:lineRule="auto"/>
        <w:rPr>
          <w:rFonts w:eastAsiaTheme="majorEastAsia" w:cstheme="minorHAnsi"/>
        </w:rPr>
      </w:pPr>
      <w:r w:rsidRPr="002178D9">
        <w:rPr>
          <w:rFonts w:eastAsiaTheme="majorEastAsia" w:cstheme="minorHAnsi"/>
        </w:rPr>
        <w:t xml:space="preserve">Document process, achievements, </w:t>
      </w:r>
      <w:r w:rsidR="00DF1492" w:rsidRPr="002178D9">
        <w:rPr>
          <w:rFonts w:eastAsiaTheme="majorEastAsia" w:cstheme="minorHAnsi"/>
        </w:rPr>
        <w:t>challenges</w:t>
      </w:r>
      <w:r w:rsidRPr="002178D9">
        <w:rPr>
          <w:rFonts w:eastAsiaTheme="majorEastAsia" w:cstheme="minorHAnsi"/>
        </w:rPr>
        <w:t>, key messages, shifts in strategy, unexpected outcomes, and successful innovative approaches</w:t>
      </w:r>
      <w:r w:rsidR="00DF1492" w:rsidRPr="002178D9">
        <w:rPr>
          <w:rFonts w:eastAsiaTheme="majorEastAsia" w:cstheme="minorHAnsi"/>
        </w:rPr>
        <w:t xml:space="preserve"> through reporting templates provided by </w:t>
      </w:r>
      <w:r w:rsidR="00A02A7C" w:rsidRPr="002178D9">
        <w:rPr>
          <w:rFonts w:eastAsiaTheme="majorEastAsia" w:cstheme="minorHAnsi"/>
        </w:rPr>
        <w:t xml:space="preserve">UN Women and </w:t>
      </w:r>
      <w:r w:rsidR="00DF1492" w:rsidRPr="002178D9">
        <w:rPr>
          <w:rFonts w:eastAsiaTheme="majorEastAsia" w:cstheme="minorHAnsi"/>
        </w:rPr>
        <w:t>WPHF</w:t>
      </w:r>
      <w:r w:rsidRPr="002178D9">
        <w:rPr>
          <w:rFonts w:eastAsiaTheme="majorEastAsia" w:cstheme="minorHAnsi"/>
        </w:rPr>
        <w:t>;</w:t>
      </w:r>
    </w:p>
    <w:p w14:paraId="649BAD48" w14:textId="239B5F04" w:rsidR="00D7648C" w:rsidRPr="002178D9" w:rsidRDefault="00D7648C" w:rsidP="00DF1492">
      <w:pPr>
        <w:pStyle w:val="ListParagraph"/>
        <w:numPr>
          <w:ilvl w:val="0"/>
          <w:numId w:val="38"/>
        </w:numPr>
        <w:suppressAutoHyphens/>
        <w:spacing w:after="0" w:line="240" w:lineRule="auto"/>
        <w:rPr>
          <w:rFonts w:eastAsiaTheme="majorEastAsia" w:cstheme="minorHAnsi"/>
        </w:rPr>
      </w:pPr>
      <w:r w:rsidRPr="002178D9">
        <w:rPr>
          <w:rFonts w:eastAsiaTheme="majorEastAsia" w:cstheme="minorHAnsi"/>
        </w:rPr>
        <w:t xml:space="preserve">Disseminate good practices and lessons learnt towards </w:t>
      </w:r>
      <w:r w:rsidR="00DF1492" w:rsidRPr="002178D9">
        <w:rPr>
          <w:rFonts w:eastAsiaTheme="majorEastAsia" w:cstheme="minorHAnsi"/>
        </w:rPr>
        <w:t>institutional capacity building</w:t>
      </w:r>
      <w:r w:rsidRPr="002178D9">
        <w:rPr>
          <w:rFonts w:eastAsiaTheme="majorEastAsia" w:cstheme="minorHAnsi"/>
        </w:rPr>
        <w:t xml:space="preserve"> approaches</w:t>
      </w:r>
      <w:r w:rsidR="003A4DAE" w:rsidRPr="002178D9">
        <w:rPr>
          <w:rFonts w:eastAsiaTheme="majorEastAsia" w:cstheme="minorHAnsi"/>
        </w:rPr>
        <w:t>;</w:t>
      </w:r>
      <w:r w:rsidRPr="002178D9">
        <w:rPr>
          <w:rFonts w:eastAsiaTheme="majorEastAsia" w:cstheme="minorHAnsi"/>
        </w:rPr>
        <w:t xml:space="preserve"> </w:t>
      </w:r>
    </w:p>
    <w:p w14:paraId="43538E62" w14:textId="5910741F" w:rsidR="00D7648C" w:rsidRPr="002178D9" w:rsidRDefault="00D7648C" w:rsidP="00DF1492">
      <w:pPr>
        <w:pStyle w:val="ListParagraph"/>
        <w:numPr>
          <w:ilvl w:val="0"/>
          <w:numId w:val="38"/>
        </w:numPr>
        <w:suppressAutoHyphens/>
        <w:spacing w:after="0" w:line="240" w:lineRule="auto"/>
        <w:rPr>
          <w:rFonts w:eastAsiaTheme="majorEastAsia" w:cstheme="minorHAnsi"/>
        </w:rPr>
      </w:pPr>
      <w:r w:rsidRPr="002178D9">
        <w:rPr>
          <w:rFonts w:eastAsiaTheme="majorEastAsia" w:cstheme="minorHAnsi"/>
        </w:rPr>
        <w:t xml:space="preserve">Maintain regular communications with </w:t>
      </w:r>
      <w:r w:rsidR="003A4DAE" w:rsidRPr="002178D9">
        <w:rPr>
          <w:rFonts w:eastAsiaTheme="majorEastAsia" w:cstheme="minorHAnsi"/>
        </w:rPr>
        <w:t xml:space="preserve">UN Women </w:t>
      </w:r>
      <w:r w:rsidR="00DF1492" w:rsidRPr="002178D9">
        <w:rPr>
          <w:rFonts w:eastAsiaTheme="majorEastAsia" w:cstheme="minorHAnsi"/>
        </w:rPr>
        <w:t xml:space="preserve">PNG focal points </w:t>
      </w:r>
      <w:r w:rsidR="003A4DAE" w:rsidRPr="002178D9">
        <w:rPr>
          <w:rFonts w:eastAsiaTheme="majorEastAsia" w:cstheme="minorHAnsi"/>
        </w:rPr>
        <w:t>and coordination with the existing Spotlight</w:t>
      </w:r>
      <w:r w:rsidR="00C37A19">
        <w:rPr>
          <w:rFonts w:eastAsiaTheme="majorEastAsia" w:cstheme="minorHAnsi"/>
        </w:rPr>
        <w:t xml:space="preserve"> Initiative</w:t>
      </w:r>
      <w:r w:rsidR="003A4DAE" w:rsidRPr="002178D9">
        <w:rPr>
          <w:rFonts w:eastAsiaTheme="majorEastAsia" w:cstheme="minorHAnsi"/>
        </w:rPr>
        <w:t xml:space="preserve"> Capacity Hub for linkages;</w:t>
      </w:r>
    </w:p>
    <w:p w14:paraId="6918398E" w14:textId="391A74A8" w:rsidR="00D7648C" w:rsidRPr="002178D9" w:rsidRDefault="00EB2326" w:rsidP="00EB2326">
      <w:pPr>
        <w:pStyle w:val="ListParagraph"/>
        <w:numPr>
          <w:ilvl w:val="0"/>
          <w:numId w:val="38"/>
        </w:numPr>
        <w:suppressAutoHyphens/>
        <w:spacing w:after="0" w:line="240" w:lineRule="auto"/>
        <w:rPr>
          <w:rFonts w:eastAsiaTheme="majorEastAsia" w:cstheme="minorHAnsi"/>
        </w:rPr>
      </w:pPr>
      <w:r w:rsidRPr="002178D9">
        <w:rPr>
          <w:rFonts w:eastAsiaTheme="majorEastAsia" w:cstheme="minorHAnsi"/>
        </w:rPr>
        <w:t>Follow WPHF/Spotlight</w:t>
      </w:r>
      <w:r w:rsidR="003B70F1">
        <w:rPr>
          <w:rFonts w:eastAsiaTheme="majorEastAsia" w:cstheme="minorHAnsi"/>
        </w:rPr>
        <w:t xml:space="preserve"> Initiative</w:t>
      </w:r>
      <w:r w:rsidRPr="002178D9">
        <w:rPr>
          <w:rFonts w:eastAsiaTheme="majorEastAsia" w:cstheme="minorHAnsi"/>
        </w:rPr>
        <w:t xml:space="preserve"> communication and branding guidelines</w:t>
      </w:r>
      <w:r w:rsidR="003A4DAE" w:rsidRPr="002178D9">
        <w:rPr>
          <w:rFonts w:eastAsiaTheme="majorEastAsia" w:cstheme="minorHAnsi"/>
        </w:rPr>
        <w:t>.</w:t>
      </w:r>
      <w:r w:rsidRPr="002178D9">
        <w:rPr>
          <w:rFonts w:eastAsiaTheme="majorEastAsia" w:cstheme="minorHAnsi"/>
        </w:rPr>
        <w:t xml:space="preserve"> </w:t>
      </w:r>
      <w:r w:rsidR="003B70F1">
        <w:rPr>
          <w:rFonts w:eastAsiaTheme="majorEastAsia" w:cstheme="minorHAnsi"/>
        </w:rPr>
        <w:t xml:space="preserve"> </w:t>
      </w:r>
    </w:p>
    <w:p w14:paraId="74ED407B" w14:textId="77777777" w:rsidR="00D7648C" w:rsidRPr="002178D9" w:rsidRDefault="00D7648C" w:rsidP="009A73DE">
      <w:pPr>
        <w:spacing w:after="0" w:line="240" w:lineRule="auto"/>
        <w:rPr>
          <w:b/>
        </w:rPr>
      </w:pPr>
    </w:p>
    <w:p w14:paraId="5D593C52" w14:textId="301DEF03" w:rsidR="003F05E6" w:rsidRPr="002178D9" w:rsidRDefault="008A3A01" w:rsidP="009A73DE">
      <w:pPr>
        <w:spacing w:after="0" w:line="240" w:lineRule="auto"/>
        <w:rPr>
          <w:b/>
        </w:rPr>
      </w:pPr>
      <w:r w:rsidRPr="002178D9">
        <w:rPr>
          <w:b/>
        </w:rPr>
        <w:t>8.3</w:t>
      </w:r>
      <w:r w:rsidR="003F05E6" w:rsidRPr="002178D9">
        <w:rPr>
          <w:b/>
        </w:rPr>
        <w:t>. Must applicants contribute to the project budget?</w:t>
      </w:r>
    </w:p>
    <w:p w14:paraId="436C03C9" w14:textId="109568C7" w:rsidR="003F05E6" w:rsidRPr="002178D9" w:rsidRDefault="003B70F1" w:rsidP="009A73DE">
      <w:pPr>
        <w:spacing w:after="0" w:line="240" w:lineRule="auto"/>
        <w:rPr>
          <w:color w:val="1C1C1C"/>
        </w:rPr>
      </w:pPr>
      <w:r>
        <w:rPr>
          <w:color w:val="1C1C1C"/>
        </w:rPr>
        <w:t>A</w:t>
      </w:r>
      <w:r w:rsidR="00AC4D86" w:rsidRPr="002178D9">
        <w:rPr>
          <w:color w:val="1C1C1C"/>
        </w:rPr>
        <w:t xml:space="preserve">pplicants </w:t>
      </w:r>
      <w:r w:rsidR="003F05E6" w:rsidRPr="002178D9">
        <w:rPr>
          <w:color w:val="1C1C1C"/>
        </w:rPr>
        <w:t>are not required to contribute to the budget.</w:t>
      </w:r>
    </w:p>
    <w:p w14:paraId="21DA0260" w14:textId="77777777" w:rsidR="003F05E6" w:rsidRPr="002178D9" w:rsidRDefault="003F05E6" w:rsidP="009A73DE">
      <w:pPr>
        <w:spacing w:after="0" w:line="240" w:lineRule="auto"/>
        <w:rPr>
          <w:color w:val="1C1C1C"/>
        </w:rPr>
      </w:pPr>
    </w:p>
    <w:p w14:paraId="4399D3DF" w14:textId="69C6CA4D" w:rsidR="003F05E6" w:rsidRPr="002178D9" w:rsidRDefault="008A3A01" w:rsidP="009A73DE">
      <w:pPr>
        <w:spacing w:after="0" w:line="240" w:lineRule="auto"/>
        <w:rPr>
          <w:b/>
          <w:bCs/>
          <w:color w:val="1C1C1C"/>
        </w:rPr>
      </w:pPr>
      <w:r w:rsidRPr="002178D9">
        <w:rPr>
          <w:b/>
          <w:bCs/>
          <w:color w:val="1C1C1C"/>
        </w:rPr>
        <w:lastRenderedPageBreak/>
        <w:t>8.4</w:t>
      </w:r>
      <w:r w:rsidR="003F05E6" w:rsidRPr="002178D9">
        <w:rPr>
          <w:b/>
          <w:bCs/>
          <w:color w:val="1C1C1C"/>
        </w:rPr>
        <w:t xml:space="preserve"> Where do we obtain more information about the call? </w:t>
      </w:r>
    </w:p>
    <w:p w14:paraId="7F61F849" w14:textId="67C6149F" w:rsidR="003F05E6" w:rsidRDefault="003F05E6" w:rsidP="009A73DE">
      <w:pPr>
        <w:spacing w:after="0" w:line="240" w:lineRule="auto"/>
        <w:jc w:val="both"/>
        <w:rPr>
          <w:rFonts w:ascii="wf_segoe-ui_normal" w:hAnsi="wf_segoe-ui_normal"/>
          <w:bCs/>
        </w:rPr>
      </w:pPr>
      <w:r w:rsidRPr="002178D9">
        <w:rPr>
          <w:rFonts w:ascii="wf_segoe-ui_normal" w:hAnsi="wf_segoe-ui_normal"/>
          <w:bCs/>
        </w:rPr>
        <w:t xml:space="preserve">An </w:t>
      </w:r>
      <w:r w:rsidR="00443188" w:rsidRPr="002178D9">
        <w:rPr>
          <w:rFonts w:ascii="wf_segoe-ui_normal" w:hAnsi="wf_segoe-ui_normal"/>
          <w:bCs/>
        </w:rPr>
        <w:t xml:space="preserve">online </w:t>
      </w:r>
      <w:r w:rsidRPr="002178D9">
        <w:rPr>
          <w:rFonts w:ascii="wf_segoe-ui_normal" w:hAnsi="wf_segoe-ui_normal"/>
          <w:bCs/>
        </w:rPr>
        <w:t xml:space="preserve">information session will be organized with prospective applicants on </w:t>
      </w:r>
      <w:r w:rsidR="00DB2B29">
        <w:rPr>
          <w:rFonts w:ascii="wf_segoe-ui_normal" w:hAnsi="wf_segoe-ui_normal"/>
          <w:bCs/>
        </w:rPr>
        <w:t xml:space="preserve">Wednesday </w:t>
      </w:r>
      <w:r w:rsidR="000A24FF">
        <w:rPr>
          <w:rFonts w:ascii="wf_segoe-ui_normal" w:hAnsi="wf_segoe-ui_normal"/>
          <w:bCs/>
        </w:rPr>
        <w:t>31</w:t>
      </w:r>
      <w:r w:rsidR="000A24FF" w:rsidRPr="000A24FF">
        <w:rPr>
          <w:rFonts w:ascii="wf_segoe-ui_normal" w:hAnsi="wf_segoe-ui_normal"/>
          <w:bCs/>
          <w:vertAlign w:val="superscript"/>
        </w:rPr>
        <w:t>st</w:t>
      </w:r>
      <w:r w:rsidR="000A24FF">
        <w:rPr>
          <w:rFonts w:ascii="wf_segoe-ui_normal" w:hAnsi="wf_segoe-ui_normal"/>
          <w:bCs/>
        </w:rPr>
        <w:t xml:space="preserve"> March</w:t>
      </w:r>
      <w:r w:rsidR="00443188" w:rsidRPr="002178D9">
        <w:rPr>
          <w:rFonts w:ascii="wf_segoe-ui_normal" w:hAnsi="wf_segoe-ui_normal"/>
          <w:bCs/>
        </w:rPr>
        <w:t>/</w:t>
      </w:r>
      <w:r w:rsidR="002D390C">
        <w:rPr>
          <w:rFonts w:ascii="wf_segoe-ui_normal" w:hAnsi="wf_segoe-ui_normal"/>
          <w:bCs/>
        </w:rPr>
        <w:t>5pm PNG time,</w:t>
      </w:r>
      <w:r w:rsidRPr="002178D9">
        <w:rPr>
          <w:rFonts w:ascii="wf_segoe-ui_normal" w:hAnsi="wf_segoe-ui_normal"/>
          <w:bCs/>
        </w:rPr>
        <w:t xml:space="preserve"> by UN Women with WPHF Secretariat support. To register, please email: </w:t>
      </w:r>
      <w:hyperlink r:id="rId8" w:history="1">
        <w:r w:rsidR="002D390C" w:rsidRPr="005639A7">
          <w:rPr>
            <w:rStyle w:val="Hyperlink"/>
            <w:rFonts w:ascii="wf_segoe-ui_normal" w:hAnsi="wf_segoe-ui_normal"/>
            <w:bCs/>
          </w:rPr>
          <w:t>cfp.pngco@unwomen.org</w:t>
        </w:r>
      </w:hyperlink>
    </w:p>
    <w:p w14:paraId="40C02BA0" w14:textId="77777777" w:rsidR="002D390C" w:rsidRPr="002178D9" w:rsidRDefault="002D390C" w:rsidP="009A73DE">
      <w:pPr>
        <w:spacing w:after="0" w:line="240" w:lineRule="auto"/>
        <w:jc w:val="both"/>
        <w:rPr>
          <w:rFonts w:ascii="wf_segoe-ui_normal" w:hAnsi="wf_segoe-ui_normal"/>
          <w:bCs/>
        </w:rPr>
      </w:pPr>
    </w:p>
    <w:p w14:paraId="6C7F0666" w14:textId="77777777" w:rsidR="003F05E6" w:rsidRPr="002178D9" w:rsidRDefault="003F05E6" w:rsidP="003F05E6">
      <w:pPr>
        <w:spacing w:after="0" w:line="240" w:lineRule="auto"/>
        <w:ind w:left="360"/>
        <w:rPr>
          <w:b/>
          <w:bCs/>
          <w:color w:val="1C1C1C"/>
        </w:rPr>
      </w:pPr>
    </w:p>
    <w:p w14:paraId="602556E3" w14:textId="42ED8AD7" w:rsidR="003F05E6" w:rsidRPr="002178D9" w:rsidRDefault="008A3A01" w:rsidP="003F05E6">
      <w:pPr>
        <w:spacing w:after="0" w:line="240" w:lineRule="auto"/>
        <w:rPr>
          <w:b/>
        </w:rPr>
      </w:pPr>
      <w:r w:rsidRPr="002178D9">
        <w:rPr>
          <w:b/>
        </w:rPr>
        <w:t>9</w:t>
      </w:r>
      <w:r w:rsidR="003F05E6" w:rsidRPr="002178D9">
        <w:rPr>
          <w:b/>
        </w:rPr>
        <w:t xml:space="preserve">. Where, </w:t>
      </w:r>
      <w:r w:rsidR="00A5416F" w:rsidRPr="002178D9">
        <w:rPr>
          <w:b/>
        </w:rPr>
        <w:t>W</w:t>
      </w:r>
      <w:r w:rsidR="003F05E6" w:rsidRPr="002178D9">
        <w:rPr>
          <w:b/>
        </w:rPr>
        <w:t xml:space="preserve">hen and </w:t>
      </w:r>
      <w:r w:rsidR="00A5416F" w:rsidRPr="002178D9">
        <w:rPr>
          <w:b/>
        </w:rPr>
        <w:t>H</w:t>
      </w:r>
      <w:r w:rsidR="003F05E6" w:rsidRPr="002178D9">
        <w:rPr>
          <w:b/>
        </w:rPr>
        <w:t>ow to apply for the Call for Proposals?</w:t>
      </w:r>
    </w:p>
    <w:p w14:paraId="29B918CD" w14:textId="622BEE12" w:rsidR="003F05E6" w:rsidRPr="002178D9" w:rsidRDefault="003F05E6" w:rsidP="003F05E6">
      <w:pPr>
        <w:pStyle w:val="ListParagraph"/>
        <w:numPr>
          <w:ilvl w:val="0"/>
          <w:numId w:val="25"/>
        </w:numPr>
        <w:spacing w:after="0" w:line="240" w:lineRule="auto"/>
        <w:ind w:left="720"/>
        <w:rPr>
          <w:bCs/>
        </w:rPr>
      </w:pPr>
      <w:r w:rsidRPr="002178D9">
        <w:rPr>
          <w:bCs/>
        </w:rPr>
        <w:t>The deadline for submission of proposals is</w:t>
      </w:r>
      <w:r w:rsidR="00ED01D7">
        <w:rPr>
          <w:bCs/>
        </w:rPr>
        <w:t xml:space="preserve"> </w:t>
      </w:r>
      <w:r w:rsidR="00643EF4">
        <w:rPr>
          <w:b/>
        </w:rPr>
        <w:t>7</w:t>
      </w:r>
      <w:r w:rsidR="00ED01D7" w:rsidRPr="00ED01D7">
        <w:rPr>
          <w:b/>
          <w:vertAlign w:val="superscript"/>
        </w:rPr>
        <w:t>th</w:t>
      </w:r>
      <w:r w:rsidR="00ED01D7">
        <w:rPr>
          <w:bCs/>
        </w:rPr>
        <w:t xml:space="preserve"> April</w:t>
      </w:r>
      <w:r w:rsidR="002178D9" w:rsidRPr="002178D9">
        <w:rPr>
          <w:b/>
        </w:rPr>
        <w:t xml:space="preserve"> 2021</w:t>
      </w:r>
      <w:r w:rsidRPr="002178D9">
        <w:rPr>
          <w:bCs/>
        </w:rPr>
        <w:t xml:space="preserve">. Applications received after that date will not be considered. </w:t>
      </w:r>
    </w:p>
    <w:p w14:paraId="461AC8CC" w14:textId="217B608C" w:rsidR="004001E6" w:rsidRPr="002178D9" w:rsidRDefault="004001E6" w:rsidP="004001E6">
      <w:pPr>
        <w:pStyle w:val="ListParagraph"/>
        <w:numPr>
          <w:ilvl w:val="0"/>
          <w:numId w:val="25"/>
        </w:numPr>
        <w:spacing w:after="0" w:line="240" w:lineRule="auto"/>
        <w:ind w:left="720"/>
        <w:jc w:val="both"/>
        <w:rPr>
          <w:rFonts w:ascii="wf_segoe-ui_normal" w:hAnsi="wf_segoe-ui_normal"/>
          <w:bCs/>
        </w:rPr>
      </w:pPr>
      <w:r w:rsidRPr="002178D9">
        <w:rPr>
          <w:rFonts w:ascii="wf_segoe-ui_normal" w:hAnsi="wf_segoe-ui_normal"/>
          <w:bCs/>
        </w:rPr>
        <w:t xml:space="preserve">Applications are accepted in </w:t>
      </w:r>
      <w:r w:rsidR="008A3A01" w:rsidRPr="002178D9">
        <w:rPr>
          <w:rFonts w:ascii="wf_segoe-ui_normal" w:hAnsi="wf_segoe-ui_normal"/>
          <w:b/>
        </w:rPr>
        <w:t>English</w:t>
      </w:r>
      <w:r w:rsidRPr="002178D9">
        <w:rPr>
          <w:rFonts w:ascii="wf_segoe-ui_normal" w:hAnsi="wf_segoe-ui_normal"/>
          <w:bCs/>
        </w:rPr>
        <w:t>. Only applications in these languages will be accepted.</w:t>
      </w:r>
    </w:p>
    <w:p w14:paraId="16A4AA02" w14:textId="720F6558" w:rsidR="004001E6" w:rsidRPr="002178D9" w:rsidRDefault="004001E6" w:rsidP="00BA6C90">
      <w:pPr>
        <w:pStyle w:val="ListParagraph"/>
        <w:numPr>
          <w:ilvl w:val="0"/>
          <w:numId w:val="25"/>
        </w:numPr>
        <w:ind w:left="720"/>
      </w:pPr>
      <w:r w:rsidRPr="002178D9">
        <w:rPr>
          <w:rFonts w:ascii="wf_segoe-ui_normal" w:hAnsi="wf_segoe-ui_normal"/>
          <w:bCs/>
        </w:rPr>
        <w:t>Y</w:t>
      </w:r>
      <w:r w:rsidRPr="002178D9">
        <w:t>ou may not make changes to your application after it is submitted.</w:t>
      </w:r>
    </w:p>
    <w:p w14:paraId="3CF9322F" w14:textId="1880AF20" w:rsidR="003F05E6" w:rsidRPr="003161BC" w:rsidRDefault="003F05E6" w:rsidP="003F05E6">
      <w:pPr>
        <w:pStyle w:val="ListParagraph"/>
        <w:numPr>
          <w:ilvl w:val="0"/>
          <w:numId w:val="25"/>
        </w:numPr>
        <w:spacing w:after="0" w:line="240" w:lineRule="auto"/>
        <w:ind w:left="720"/>
        <w:rPr>
          <w:rFonts w:ascii="wf_segoe-ui_normal" w:hAnsi="wf_segoe-ui_normal"/>
          <w:bCs/>
        </w:rPr>
      </w:pPr>
      <w:r w:rsidRPr="002178D9">
        <w:rPr>
          <w:bCs/>
        </w:rPr>
        <w:t xml:space="preserve">Application packages should be emailed </w:t>
      </w:r>
      <w:r w:rsidR="008A3A01" w:rsidRPr="002178D9">
        <w:rPr>
          <w:bCs/>
        </w:rPr>
        <w:t>to</w:t>
      </w:r>
      <w:r w:rsidRPr="002178D9">
        <w:rPr>
          <w:bCs/>
        </w:rPr>
        <w:t xml:space="preserve"> </w:t>
      </w:r>
      <w:hyperlink r:id="rId9" w:history="1">
        <w:r w:rsidR="00E86A4A" w:rsidRPr="002178D9">
          <w:rPr>
            <w:rStyle w:val="Hyperlink"/>
          </w:rPr>
          <w:t>cfp.pngco@unwomen.org</w:t>
        </w:r>
      </w:hyperlink>
      <w:r w:rsidR="00E86A4A" w:rsidRPr="002178D9">
        <w:rPr>
          <w:rStyle w:val="Hyperlink"/>
        </w:rPr>
        <w:t xml:space="preserve"> </w:t>
      </w:r>
      <w:r w:rsidR="00E86A4A" w:rsidRPr="003161BC">
        <w:rPr>
          <w:rFonts w:ascii="wf_segoe-ui_normal" w:hAnsi="wf_segoe-ui_normal"/>
          <w:bCs/>
        </w:rPr>
        <w:t xml:space="preserve">with the </w:t>
      </w:r>
      <w:r w:rsidR="00113B33">
        <w:rPr>
          <w:rFonts w:ascii="wf_segoe-ui_normal" w:hAnsi="wf_segoe-ui_normal"/>
          <w:bCs/>
        </w:rPr>
        <w:t xml:space="preserve">following </w:t>
      </w:r>
      <w:r w:rsidR="00E86A4A" w:rsidRPr="003161BC">
        <w:rPr>
          <w:rFonts w:ascii="wf_segoe-ui_normal" w:hAnsi="wf_segoe-ui_normal"/>
          <w:bCs/>
        </w:rPr>
        <w:t xml:space="preserve">subject line: </w:t>
      </w:r>
      <w:r w:rsidR="00E86A4A" w:rsidRPr="00ED01D7">
        <w:rPr>
          <w:rFonts w:ascii="wf_segoe-ui_normal" w:hAnsi="wf_segoe-ui_normal"/>
          <w:b/>
        </w:rPr>
        <w:t>WPHF-Spotlight NGO CFP</w:t>
      </w:r>
    </w:p>
    <w:p w14:paraId="3F272F95" w14:textId="6D0D4DB2" w:rsidR="003F05E6" w:rsidRPr="002178D9" w:rsidRDefault="003F05E6" w:rsidP="003F05E6">
      <w:pPr>
        <w:pStyle w:val="ListParagraph"/>
        <w:numPr>
          <w:ilvl w:val="0"/>
          <w:numId w:val="25"/>
        </w:numPr>
        <w:spacing w:after="0" w:line="240" w:lineRule="auto"/>
        <w:ind w:left="720"/>
        <w:jc w:val="both"/>
      </w:pPr>
      <w:r w:rsidRPr="002178D9">
        <w:t xml:space="preserve">Applications can be submitted in .doc, .docx, or .pdf format. No other formats will be accepted. Legal registration certificates can be submitted in jpeg, doc., docx., or pdf format. All documents should be submitted together as </w:t>
      </w:r>
      <w:r w:rsidR="008A3A01" w:rsidRPr="002178D9">
        <w:t>one</w:t>
      </w:r>
      <w:r w:rsidRPr="002178D9">
        <w:t xml:space="preserve"> package.</w:t>
      </w:r>
    </w:p>
    <w:p w14:paraId="470AEB17" w14:textId="77777777" w:rsidR="003F05E6" w:rsidRPr="002178D9" w:rsidRDefault="003F05E6" w:rsidP="003F05E6">
      <w:pPr>
        <w:pStyle w:val="ListParagraph"/>
        <w:numPr>
          <w:ilvl w:val="0"/>
          <w:numId w:val="25"/>
        </w:numPr>
        <w:spacing w:after="0" w:line="240" w:lineRule="auto"/>
        <w:ind w:left="720"/>
        <w:jc w:val="both"/>
        <w:rPr>
          <w:rFonts w:ascii="wf_segoe-ui_normal" w:hAnsi="wf_segoe-ui_normal"/>
          <w:bCs/>
        </w:rPr>
      </w:pPr>
      <w:r w:rsidRPr="002178D9">
        <w:rPr>
          <w:rFonts w:ascii="wf_segoe-ui_normal" w:hAnsi="wf_segoe-ui_normal"/>
          <w:bCs/>
        </w:rPr>
        <w:t>The UN Women Country Office will aim to acknowledge receipt of application within three days of receipt. Please DO NOT resend your application unless you do not receive a confirm of receipt within three days.</w:t>
      </w:r>
    </w:p>
    <w:p w14:paraId="6D5EDB4D" w14:textId="42D90D2F" w:rsidR="003F05E6" w:rsidRPr="002178D9" w:rsidRDefault="003F05E6" w:rsidP="004E4DA6">
      <w:pPr>
        <w:pStyle w:val="ListParagraph"/>
        <w:numPr>
          <w:ilvl w:val="0"/>
          <w:numId w:val="25"/>
        </w:numPr>
        <w:spacing w:after="0" w:line="240" w:lineRule="auto"/>
        <w:ind w:left="720"/>
        <w:jc w:val="both"/>
      </w:pPr>
      <w:r w:rsidRPr="002178D9">
        <w:t xml:space="preserve">The UN Women Country Office will </w:t>
      </w:r>
      <w:r w:rsidR="005B5E50" w:rsidRPr="002178D9">
        <w:t xml:space="preserve">accept </w:t>
      </w:r>
      <w:r w:rsidR="00740B9E" w:rsidRPr="002178D9">
        <w:t xml:space="preserve">questions related to this proposal until </w:t>
      </w:r>
      <w:r w:rsidR="00ED01D7" w:rsidRPr="00ED01D7">
        <w:t>2</w:t>
      </w:r>
      <w:r w:rsidR="00ED01D7" w:rsidRPr="00ED01D7">
        <w:rPr>
          <w:vertAlign w:val="superscript"/>
        </w:rPr>
        <w:t>nd</w:t>
      </w:r>
      <w:r w:rsidR="00ED01D7" w:rsidRPr="00ED01D7">
        <w:t xml:space="preserve"> April</w:t>
      </w:r>
      <w:r w:rsidR="002178D9" w:rsidRPr="00ED01D7">
        <w:t xml:space="preserve"> 2021</w:t>
      </w:r>
      <w:r w:rsidR="005B5E50" w:rsidRPr="00ED01D7">
        <w:t>.</w:t>
      </w:r>
      <w:r w:rsidR="005B5E50" w:rsidRPr="002178D9">
        <w:t xml:space="preserve"> Please </w:t>
      </w:r>
      <w:r w:rsidRPr="002178D9">
        <w:t>allow a minimum of 48 hours for responses to any questions.</w:t>
      </w:r>
      <w:r w:rsidR="004001E6" w:rsidRPr="002178D9">
        <w:t xml:space="preserve"> </w:t>
      </w:r>
    </w:p>
    <w:p w14:paraId="0F381462" w14:textId="7572AC9E" w:rsidR="008C11DD" w:rsidRPr="002178D9" w:rsidRDefault="008C11DD" w:rsidP="003F05E6">
      <w:pPr>
        <w:spacing w:after="0" w:line="240" w:lineRule="auto"/>
        <w:rPr>
          <w:i/>
        </w:rPr>
      </w:pPr>
    </w:p>
    <w:p w14:paraId="1429225F" w14:textId="5F4B027E" w:rsidR="003F05E6" w:rsidRPr="002178D9" w:rsidRDefault="00B02C13" w:rsidP="009A73DE">
      <w:pPr>
        <w:spacing w:after="0" w:line="240" w:lineRule="auto"/>
        <w:rPr>
          <w:b/>
        </w:rPr>
      </w:pPr>
      <w:r w:rsidRPr="002178D9">
        <w:rPr>
          <w:b/>
        </w:rPr>
        <w:t>9</w:t>
      </w:r>
      <w:r w:rsidR="003F05E6" w:rsidRPr="002178D9">
        <w:rPr>
          <w:b/>
        </w:rPr>
        <w:t>.1. Required Components of the Application Package</w:t>
      </w:r>
    </w:p>
    <w:p w14:paraId="02DE4BF7" w14:textId="32DAEFB3" w:rsidR="003F05E6" w:rsidRPr="002178D9" w:rsidRDefault="00E32977" w:rsidP="009A73DE">
      <w:pPr>
        <w:spacing w:after="0" w:line="240" w:lineRule="auto"/>
      </w:pPr>
      <w:r w:rsidRPr="002178D9">
        <w:t>Applicants are required to use the</w:t>
      </w:r>
      <w:r w:rsidR="00A94AC4" w:rsidRPr="002178D9">
        <w:t xml:space="preserve"> WPHF templates provided. Please note, incomplete applications</w:t>
      </w:r>
      <w:r w:rsidR="006A3D97" w:rsidRPr="002178D9">
        <w:t xml:space="preserve"> or use of different templates</w:t>
      </w:r>
      <w:r w:rsidR="00A94AC4" w:rsidRPr="002178D9">
        <w:t xml:space="preserve"> will not be considered.</w:t>
      </w:r>
    </w:p>
    <w:p w14:paraId="25150724" w14:textId="77777777" w:rsidR="003F05E6" w:rsidRPr="002178D9" w:rsidRDefault="003F05E6" w:rsidP="009A73DE">
      <w:pPr>
        <w:spacing w:after="0" w:line="240" w:lineRule="auto"/>
        <w:rPr>
          <w:u w:val="single"/>
        </w:rPr>
      </w:pPr>
    </w:p>
    <w:p w14:paraId="32BFC3B4" w14:textId="1C39FDC9" w:rsidR="003F05E6" w:rsidRPr="002178D9" w:rsidRDefault="0098664C" w:rsidP="009A73DE">
      <w:pPr>
        <w:pStyle w:val="ListParagraph"/>
        <w:numPr>
          <w:ilvl w:val="0"/>
          <w:numId w:val="26"/>
        </w:numPr>
        <w:spacing w:after="0" w:line="240" w:lineRule="auto"/>
        <w:ind w:left="360"/>
      </w:pPr>
      <w:r w:rsidRPr="002178D9">
        <w:t xml:space="preserve">WPHF </w:t>
      </w:r>
      <w:r w:rsidR="003F05E6" w:rsidRPr="002178D9">
        <w:t xml:space="preserve">Proposal </w:t>
      </w:r>
      <w:r w:rsidR="00853BDD" w:rsidRPr="002178D9">
        <w:t>T</w:t>
      </w:r>
      <w:r w:rsidR="00E4390E" w:rsidRPr="002178D9">
        <w:t xml:space="preserve">emplate </w:t>
      </w:r>
      <w:r w:rsidR="003F05E6" w:rsidRPr="002178D9">
        <w:t>(attached, no more than 10 pages, excluding Annex A and B)</w:t>
      </w:r>
    </w:p>
    <w:p w14:paraId="01C38FC9" w14:textId="754431E9" w:rsidR="003F05E6" w:rsidRPr="002178D9" w:rsidRDefault="003F05E6" w:rsidP="009A73DE">
      <w:pPr>
        <w:pStyle w:val="ListParagraph"/>
        <w:numPr>
          <w:ilvl w:val="0"/>
          <w:numId w:val="27"/>
        </w:numPr>
        <w:spacing w:after="0" w:line="240" w:lineRule="auto"/>
        <w:ind w:left="360"/>
        <w:rPr>
          <w:u w:val="single"/>
        </w:rPr>
      </w:pPr>
      <w:r w:rsidRPr="002178D9">
        <w:t>Results Framework (Proposal Template Annex: A)</w:t>
      </w:r>
    </w:p>
    <w:p w14:paraId="00C8F368" w14:textId="149A3FA6" w:rsidR="00095FDA" w:rsidRPr="002178D9" w:rsidRDefault="003F05E6" w:rsidP="00095FDA">
      <w:pPr>
        <w:pStyle w:val="ListParagraph"/>
        <w:numPr>
          <w:ilvl w:val="0"/>
          <w:numId w:val="27"/>
        </w:numPr>
        <w:spacing w:after="0" w:line="240" w:lineRule="auto"/>
        <w:ind w:left="360"/>
        <w:rPr>
          <w:u w:val="single"/>
        </w:rPr>
      </w:pPr>
      <w:r w:rsidRPr="002178D9">
        <w:t>Project Budget (Proposal Template Annex: B)</w:t>
      </w:r>
    </w:p>
    <w:p w14:paraId="205133D0" w14:textId="77777777" w:rsidR="006A3D97" w:rsidRPr="002178D9" w:rsidRDefault="006A3D97" w:rsidP="006A3D97">
      <w:pPr>
        <w:spacing w:after="0" w:line="240" w:lineRule="auto"/>
        <w:rPr>
          <w:sz w:val="8"/>
          <w:szCs w:val="8"/>
          <w:u w:val="single"/>
        </w:rPr>
      </w:pPr>
    </w:p>
    <w:p w14:paraId="466FB8C2" w14:textId="4CDF3D6C" w:rsidR="003F05E6" w:rsidRPr="002178D9" w:rsidRDefault="006A3D97" w:rsidP="006A3D97">
      <w:pPr>
        <w:spacing w:after="0" w:line="240" w:lineRule="auto"/>
      </w:pPr>
      <w:r w:rsidRPr="002178D9">
        <w:t>AND</w:t>
      </w:r>
      <w:r w:rsidR="003F05E6" w:rsidRPr="002178D9">
        <w:tab/>
      </w:r>
    </w:p>
    <w:p w14:paraId="5C46E1E4" w14:textId="77777777" w:rsidR="006A3D97" w:rsidRPr="002178D9" w:rsidRDefault="006A3D97" w:rsidP="006A3D97">
      <w:pPr>
        <w:spacing w:after="0" w:line="240" w:lineRule="auto"/>
        <w:rPr>
          <w:sz w:val="10"/>
          <w:szCs w:val="10"/>
          <w:u w:val="single"/>
        </w:rPr>
      </w:pPr>
    </w:p>
    <w:p w14:paraId="470FC0CC" w14:textId="1D7AAA8F" w:rsidR="003F05E6" w:rsidRPr="002178D9" w:rsidRDefault="003F05E6" w:rsidP="009A73DE">
      <w:pPr>
        <w:pStyle w:val="ListParagraph"/>
        <w:numPr>
          <w:ilvl w:val="0"/>
          <w:numId w:val="27"/>
        </w:numPr>
        <w:spacing w:after="0" w:line="240" w:lineRule="auto"/>
        <w:ind w:left="360"/>
      </w:pPr>
      <w:r w:rsidRPr="002178D9">
        <w:t xml:space="preserve">Proof of valid legal registration </w:t>
      </w:r>
    </w:p>
    <w:p w14:paraId="4264262E" w14:textId="77777777" w:rsidR="003F05E6" w:rsidRPr="002178D9" w:rsidRDefault="003F05E6" w:rsidP="003F05E6">
      <w:pPr>
        <w:spacing w:after="0" w:line="240" w:lineRule="auto"/>
        <w:ind w:left="360"/>
      </w:pPr>
    </w:p>
    <w:p w14:paraId="13FAE1CB" w14:textId="51F31FDA" w:rsidR="006479E5" w:rsidRPr="002178D9" w:rsidRDefault="003F05E6" w:rsidP="009A73DE">
      <w:pPr>
        <w:spacing w:after="0" w:line="240" w:lineRule="auto"/>
        <w:rPr>
          <w:b/>
          <w:bCs/>
        </w:rPr>
      </w:pPr>
      <w:r w:rsidRPr="002178D9">
        <w:rPr>
          <w:b/>
          <w:bCs/>
        </w:rPr>
        <w:t xml:space="preserve">DO NOT submit photos or additional documents other than the ones listed. </w:t>
      </w:r>
    </w:p>
    <w:p w14:paraId="66E36FAF" w14:textId="5FC4062E" w:rsidR="00501742" w:rsidRPr="002178D9" w:rsidRDefault="00501742" w:rsidP="000B7AA6">
      <w:pPr>
        <w:spacing w:after="0"/>
      </w:pPr>
    </w:p>
    <w:p w14:paraId="0F11AC10" w14:textId="5DDCC1E9" w:rsidR="00251CB7" w:rsidRPr="002178D9" w:rsidRDefault="00B02C13" w:rsidP="00251CB7">
      <w:pPr>
        <w:spacing w:after="0"/>
        <w:jc w:val="both"/>
        <w:rPr>
          <w:b/>
        </w:rPr>
      </w:pPr>
      <w:r w:rsidRPr="002178D9">
        <w:rPr>
          <w:b/>
        </w:rPr>
        <w:t>9</w:t>
      </w:r>
      <w:r w:rsidR="00431426" w:rsidRPr="002178D9">
        <w:rPr>
          <w:b/>
        </w:rPr>
        <w:t>.2.</w:t>
      </w:r>
      <w:r w:rsidR="003600B1" w:rsidRPr="002178D9">
        <w:rPr>
          <w:b/>
        </w:rPr>
        <w:t xml:space="preserve"> Evaluation Criteria</w:t>
      </w:r>
    </w:p>
    <w:p w14:paraId="10DCEC9C" w14:textId="340291FE" w:rsidR="005A0242" w:rsidRPr="002178D9" w:rsidRDefault="00C2203D" w:rsidP="00251CB7">
      <w:pPr>
        <w:spacing w:after="0"/>
        <w:jc w:val="both"/>
      </w:pPr>
      <w:r w:rsidRPr="002178D9">
        <w:t xml:space="preserve">A technical evaluation of proposals will be </w:t>
      </w:r>
      <w:r w:rsidR="00251CB7" w:rsidRPr="002178D9">
        <w:t>conducted,</w:t>
      </w:r>
      <w:r w:rsidRPr="002178D9">
        <w:t xml:space="preserve"> and proposals will be evaluated using the following criteria:</w:t>
      </w:r>
    </w:p>
    <w:p w14:paraId="348ECF2C" w14:textId="65AE934A" w:rsidR="00664426" w:rsidRPr="002178D9" w:rsidRDefault="00664426" w:rsidP="009A73DE">
      <w:pPr>
        <w:spacing w:after="0"/>
      </w:pPr>
    </w:p>
    <w:p w14:paraId="04CD4ECA" w14:textId="624DAE78" w:rsidR="00735AFB" w:rsidRPr="002178D9" w:rsidRDefault="00735AFB" w:rsidP="00095FDA">
      <w:pPr>
        <w:spacing w:after="0"/>
        <w:contextualSpacing/>
        <w:rPr>
          <w:u w:val="single"/>
        </w:rPr>
      </w:pPr>
      <w:r w:rsidRPr="002178D9">
        <w:rPr>
          <w:u w:val="single"/>
        </w:rPr>
        <w:t>Project design and objectives</w:t>
      </w:r>
      <w:r w:rsidRPr="002178D9">
        <w:t>:</w:t>
      </w:r>
    </w:p>
    <w:p w14:paraId="535450CE" w14:textId="16A6318E" w:rsidR="00735AFB" w:rsidRPr="002178D9" w:rsidRDefault="00877CA9" w:rsidP="00181706">
      <w:pPr>
        <w:numPr>
          <w:ilvl w:val="0"/>
          <w:numId w:val="4"/>
        </w:numPr>
        <w:tabs>
          <w:tab w:val="clear" w:pos="1080"/>
          <w:tab w:val="num" w:pos="630"/>
        </w:tabs>
        <w:spacing w:after="0" w:line="240" w:lineRule="auto"/>
        <w:ind w:left="630"/>
        <w:contextualSpacing/>
        <w:rPr>
          <w:rFonts w:eastAsia="Times New Roman"/>
        </w:rPr>
      </w:pPr>
      <w:r w:rsidRPr="002178D9">
        <w:t xml:space="preserve">Organization mandate and mission is aligned with WPHF/Spotlight </w:t>
      </w:r>
      <w:r w:rsidR="003B70F1">
        <w:t xml:space="preserve">Initiative </w:t>
      </w:r>
      <w:r w:rsidR="00735AFB" w:rsidRPr="002178D9">
        <w:t xml:space="preserve">theory of change, particularly with respect to </w:t>
      </w:r>
      <w:r w:rsidR="00BC7227" w:rsidRPr="002178D9">
        <w:t>the</w:t>
      </w:r>
      <w:r w:rsidR="00735AFB" w:rsidRPr="002178D9">
        <w:t xml:space="preserve"> specific </w:t>
      </w:r>
      <w:r w:rsidR="21969284" w:rsidRPr="002178D9">
        <w:t>impact</w:t>
      </w:r>
      <w:r w:rsidR="00735AFB" w:rsidRPr="002178D9">
        <w:t xml:space="preserve"> </w:t>
      </w:r>
      <w:r w:rsidR="00BC7227" w:rsidRPr="002178D9">
        <w:t>outlined</w:t>
      </w:r>
      <w:r w:rsidR="00A244F2" w:rsidRPr="002178D9">
        <w:t>.</w:t>
      </w:r>
    </w:p>
    <w:p w14:paraId="64ACDC3B" w14:textId="1BCFFB38" w:rsidR="00735AFB" w:rsidRPr="002178D9" w:rsidRDefault="00735AFB" w:rsidP="00181706">
      <w:pPr>
        <w:pStyle w:val="Title"/>
        <w:numPr>
          <w:ilvl w:val="0"/>
          <w:numId w:val="4"/>
        </w:numPr>
        <w:tabs>
          <w:tab w:val="clear" w:pos="1080"/>
          <w:tab w:val="num" w:pos="630"/>
        </w:tabs>
        <w:ind w:left="630"/>
        <w:contextualSpacing/>
        <w:jc w:val="left"/>
        <w:rPr>
          <w:rFonts w:ascii="Calibri" w:hAnsi="Calibri"/>
          <w:b w:val="0"/>
          <w:sz w:val="22"/>
          <w:szCs w:val="22"/>
        </w:rPr>
      </w:pPr>
      <w:r w:rsidRPr="002178D9">
        <w:rPr>
          <w:rFonts w:ascii="Calibri" w:hAnsi="Calibri"/>
          <w:b w:val="0"/>
          <w:sz w:val="22"/>
        </w:rPr>
        <w:t>Definition of clear objectives</w:t>
      </w:r>
      <w:r w:rsidR="00D83A96" w:rsidRPr="002178D9">
        <w:rPr>
          <w:rFonts w:ascii="Calibri" w:hAnsi="Calibri"/>
          <w:b w:val="0"/>
          <w:sz w:val="22"/>
        </w:rPr>
        <w:t xml:space="preserve"> and </w:t>
      </w:r>
      <w:r w:rsidR="00CC0C29" w:rsidRPr="002178D9">
        <w:rPr>
          <w:rFonts w:ascii="Calibri" w:hAnsi="Calibri"/>
          <w:b w:val="0"/>
          <w:sz w:val="22"/>
        </w:rPr>
        <w:t xml:space="preserve">expected </w:t>
      </w:r>
      <w:r w:rsidRPr="002178D9">
        <w:rPr>
          <w:rFonts w:ascii="Calibri" w:hAnsi="Calibri"/>
          <w:b w:val="0"/>
          <w:sz w:val="22"/>
        </w:rPr>
        <w:t xml:space="preserve">results, taking account of best practices of </w:t>
      </w:r>
      <w:r w:rsidR="00CC0C29" w:rsidRPr="002178D9">
        <w:rPr>
          <w:rFonts w:ascii="Calibri" w:hAnsi="Calibri"/>
          <w:b w:val="0"/>
          <w:sz w:val="22"/>
        </w:rPr>
        <w:t xml:space="preserve">participatory and inclusive </w:t>
      </w:r>
      <w:r w:rsidRPr="002178D9">
        <w:rPr>
          <w:rFonts w:ascii="Calibri" w:hAnsi="Calibri"/>
          <w:b w:val="0"/>
          <w:sz w:val="22"/>
        </w:rPr>
        <w:t>approaches</w:t>
      </w:r>
      <w:r w:rsidR="001F1A2D" w:rsidRPr="002178D9">
        <w:rPr>
          <w:rFonts w:ascii="Calibri" w:hAnsi="Calibri"/>
          <w:b w:val="0"/>
          <w:sz w:val="22"/>
        </w:rPr>
        <w:t xml:space="preserve"> for capacity building</w:t>
      </w:r>
      <w:r w:rsidRPr="002178D9">
        <w:rPr>
          <w:rFonts w:ascii="Calibri" w:hAnsi="Calibri"/>
          <w:b w:val="0"/>
          <w:sz w:val="22"/>
        </w:rPr>
        <w:t>.</w:t>
      </w:r>
    </w:p>
    <w:p w14:paraId="3E2638F5" w14:textId="09242EF8" w:rsidR="008D2D15" w:rsidRPr="002178D9" w:rsidRDefault="008D2D15" w:rsidP="008D2D15">
      <w:pPr>
        <w:numPr>
          <w:ilvl w:val="0"/>
          <w:numId w:val="4"/>
        </w:numPr>
        <w:tabs>
          <w:tab w:val="clear" w:pos="1080"/>
          <w:tab w:val="num" w:pos="630"/>
        </w:tabs>
        <w:spacing w:after="0" w:line="240" w:lineRule="auto"/>
        <w:ind w:left="630"/>
        <w:contextualSpacing/>
      </w:pPr>
      <w:r w:rsidRPr="002178D9">
        <w:lastRenderedPageBreak/>
        <w:t>Clear demonstration of organization’s technical experience in institutional capacity building and support to women’s rights organizations working on EVAW and coalition building to design, implement, monitor, evaluation, and report on implementation</w:t>
      </w:r>
    </w:p>
    <w:p w14:paraId="54F16E53" w14:textId="37BA22ED" w:rsidR="00B80B71" w:rsidRPr="002178D9" w:rsidRDefault="00A9763B" w:rsidP="00D0536B">
      <w:pPr>
        <w:pStyle w:val="Title"/>
        <w:numPr>
          <w:ilvl w:val="0"/>
          <w:numId w:val="4"/>
        </w:numPr>
        <w:tabs>
          <w:tab w:val="clear" w:pos="1080"/>
          <w:tab w:val="num" w:pos="630"/>
        </w:tabs>
        <w:ind w:left="630"/>
        <w:contextualSpacing/>
        <w:jc w:val="left"/>
        <w:rPr>
          <w:rFonts w:ascii="Calibri" w:hAnsi="Calibri"/>
          <w:b w:val="0"/>
          <w:sz w:val="22"/>
          <w:szCs w:val="22"/>
        </w:rPr>
      </w:pPr>
      <w:r w:rsidRPr="002178D9">
        <w:rPr>
          <w:rFonts w:ascii="Calibri" w:hAnsi="Calibri"/>
          <w:b w:val="0"/>
          <w:sz w:val="22"/>
          <w:szCs w:val="22"/>
        </w:rPr>
        <w:t>A clear capacity building plan</w:t>
      </w:r>
      <w:r w:rsidR="00B80B71" w:rsidRPr="002178D9">
        <w:rPr>
          <w:rFonts w:ascii="Calibri" w:hAnsi="Calibri"/>
          <w:b w:val="0"/>
          <w:sz w:val="22"/>
          <w:szCs w:val="22"/>
        </w:rPr>
        <w:t xml:space="preserve"> and set of activities, including appropriate </w:t>
      </w:r>
      <w:r w:rsidR="001C39E8" w:rsidRPr="002178D9">
        <w:rPr>
          <w:rFonts w:ascii="Calibri" w:hAnsi="Calibri"/>
          <w:b w:val="0"/>
          <w:sz w:val="22"/>
          <w:szCs w:val="22"/>
        </w:rPr>
        <w:t xml:space="preserve">participatory </w:t>
      </w:r>
      <w:r w:rsidR="00B80B71" w:rsidRPr="002178D9">
        <w:rPr>
          <w:rFonts w:ascii="Calibri" w:hAnsi="Calibri"/>
          <w:b w:val="0"/>
          <w:sz w:val="22"/>
          <w:szCs w:val="22"/>
        </w:rPr>
        <w:t xml:space="preserve">approaches and modalities to building capacity </w:t>
      </w:r>
      <w:r w:rsidR="00A02B7C" w:rsidRPr="002178D9">
        <w:rPr>
          <w:rFonts w:ascii="Calibri" w:hAnsi="Calibri"/>
          <w:b w:val="0"/>
          <w:sz w:val="22"/>
          <w:szCs w:val="22"/>
        </w:rPr>
        <w:t xml:space="preserve">and conducting training for </w:t>
      </w:r>
      <w:r w:rsidR="00B80B71" w:rsidRPr="002178D9">
        <w:rPr>
          <w:rFonts w:ascii="Calibri" w:hAnsi="Calibri"/>
          <w:b w:val="0"/>
          <w:sz w:val="22"/>
          <w:szCs w:val="22"/>
        </w:rPr>
        <w:t>CSO partners</w:t>
      </w:r>
    </w:p>
    <w:p w14:paraId="03D1A3BC" w14:textId="77777777" w:rsidR="00735AFB" w:rsidRPr="002178D9" w:rsidRDefault="00735AFB" w:rsidP="00D0536B">
      <w:pPr>
        <w:spacing w:after="0" w:line="240" w:lineRule="auto"/>
        <w:ind w:firstLine="180"/>
        <w:contextualSpacing/>
        <w:rPr>
          <w:u w:val="single"/>
        </w:rPr>
      </w:pPr>
    </w:p>
    <w:p w14:paraId="485F894B" w14:textId="6C0E8357" w:rsidR="005A0242" w:rsidRPr="002178D9" w:rsidRDefault="005A0242" w:rsidP="00D0536B">
      <w:pPr>
        <w:spacing w:after="0" w:line="240" w:lineRule="auto"/>
        <w:ind w:firstLine="180"/>
        <w:contextualSpacing/>
        <w:rPr>
          <w:u w:val="single"/>
        </w:rPr>
      </w:pPr>
      <w:r w:rsidRPr="002178D9">
        <w:rPr>
          <w:u w:val="single"/>
        </w:rPr>
        <w:t>Programme management and monitoring</w:t>
      </w:r>
      <w:r w:rsidRPr="002178D9">
        <w:t>:</w:t>
      </w:r>
    </w:p>
    <w:p w14:paraId="770FE17E" w14:textId="317034A2" w:rsidR="008D2D15" w:rsidRPr="002178D9" w:rsidRDefault="008D2D15" w:rsidP="00D0536B">
      <w:pPr>
        <w:numPr>
          <w:ilvl w:val="0"/>
          <w:numId w:val="6"/>
        </w:numPr>
        <w:tabs>
          <w:tab w:val="clear" w:pos="1080"/>
        </w:tabs>
        <w:spacing w:after="0" w:line="240" w:lineRule="auto"/>
        <w:ind w:left="630"/>
        <w:contextualSpacing/>
      </w:pPr>
      <w:r w:rsidRPr="002178D9">
        <w:t>Geographical reach and language capabilities</w:t>
      </w:r>
    </w:p>
    <w:p w14:paraId="16260367" w14:textId="022B41A8" w:rsidR="005A0242" w:rsidRPr="002178D9" w:rsidRDefault="00735AFB" w:rsidP="00D0536B">
      <w:pPr>
        <w:pStyle w:val="Title"/>
        <w:numPr>
          <w:ilvl w:val="0"/>
          <w:numId w:val="6"/>
        </w:numPr>
        <w:tabs>
          <w:tab w:val="clear" w:pos="1080"/>
          <w:tab w:val="num" w:pos="630"/>
        </w:tabs>
        <w:autoSpaceDE w:val="0"/>
        <w:autoSpaceDN w:val="0"/>
        <w:adjustRightInd w:val="0"/>
        <w:ind w:left="630"/>
        <w:contextualSpacing/>
        <w:jc w:val="left"/>
        <w:rPr>
          <w:rFonts w:asciiTheme="minorHAnsi" w:hAnsiTheme="minorHAnsi" w:cstheme="minorHAnsi"/>
          <w:b w:val="0"/>
          <w:bCs/>
          <w:sz w:val="22"/>
          <w:szCs w:val="16"/>
        </w:rPr>
      </w:pPr>
      <w:r w:rsidRPr="002178D9">
        <w:rPr>
          <w:rFonts w:ascii="Calibri" w:hAnsi="Calibri"/>
          <w:b w:val="0"/>
          <w:bCs/>
          <w:sz w:val="22"/>
          <w:szCs w:val="22"/>
        </w:rPr>
        <w:t>Realistic activity schedule and implementation strategy to achieve objectives within the time frame</w:t>
      </w:r>
      <w:r w:rsidRPr="002178D9">
        <w:rPr>
          <w:rFonts w:ascii="Calibri" w:hAnsi="Calibri"/>
          <w:bCs/>
          <w:sz w:val="22"/>
          <w:szCs w:val="22"/>
        </w:rPr>
        <w:t xml:space="preserve">. </w:t>
      </w:r>
    </w:p>
    <w:p w14:paraId="7DCFDE26" w14:textId="0BA0FEC6" w:rsidR="00881C01" w:rsidRPr="002178D9" w:rsidRDefault="00881C01" w:rsidP="00D0536B">
      <w:pPr>
        <w:pStyle w:val="Title"/>
        <w:numPr>
          <w:ilvl w:val="0"/>
          <w:numId w:val="6"/>
        </w:numPr>
        <w:tabs>
          <w:tab w:val="clear" w:pos="1080"/>
          <w:tab w:val="num" w:pos="630"/>
        </w:tabs>
        <w:autoSpaceDE w:val="0"/>
        <w:autoSpaceDN w:val="0"/>
        <w:adjustRightInd w:val="0"/>
        <w:ind w:left="630"/>
        <w:contextualSpacing/>
        <w:jc w:val="left"/>
        <w:rPr>
          <w:rFonts w:asciiTheme="minorHAnsi" w:hAnsiTheme="minorHAnsi" w:cstheme="minorHAnsi"/>
          <w:b w:val="0"/>
          <w:bCs/>
          <w:sz w:val="22"/>
          <w:szCs w:val="16"/>
        </w:rPr>
      </w:pPr>
      <w:r w:rsidRPr="002178D9">
        <w:rPr>
          <w:rFonts w:asciiTheme="minorHAnsi" w:hAnsiTheme="minorHAnsi" w:cstheme="minorHAnsi"/>
          <w:b w:val="0"/>
          <w:bCs/>
          <w:sz w:val="22"/>
          <w:szCs w:val="16"/>
        </w:rPr>
        <w:t>Identification of relevant and appropriate monitoring and evaluation approaches based on the results framework and indicators</w:t>
      </w:r>
    </w:p>
    <w:p w14:paraId="654E3E3B" w14:textId="26F0A511" w:rsidR="00940958" w:rsidRPr="002178D9" w:rsidRDefault="00940958" w:rsidP="00D0536B">
      <w:pPr>
        <w:numPr>
          <w:ilvl w:val="0"/>
          <w:numId w:val="6"/>
        </w:numPr>
        <w:tabs>
          <w:tab w:val="clear" w:pos="1080"/>
          <w:tab w:val="num" w:pos="630"/>
        </w:tabs>
        <w:spacing w:after="0" w:line="240" w:lineRule="auto"/>
        <w:ind w:hanging="810"/>
        <w:contextualSpacing/>
      </w:pPr>
      <w:r w:rsidRPr="002178D9">
        <w:t>Identification of comprehensive risks and appropriate mitigation measures</w:t>
      </w:r>
      <w:r w:rsidRPr="002178D9" w:rsidDel="00735AFB">
        <w:t xml:space="preserve"> </w:t>
      </w:r>
    </w:p>
    <w:p w14:paraId="432024FF" w14:textId="77777777" w:rsidR="005A0242" w:rsidRPr="002178D9" w:rsidRDefault="005A0242" w:rsidP="00A443ED">
      <w:pPr>
        <w:pStyle w:val="Title"/>
        <w:rPr>
          <w:u w:val="single"/>
        </w:rPr>
      </w:pPr>
    </w:p>
    <w:p w14:paraId="43382FCA" w14:textId="77777777" w:rsidR="005A0242" w:rsidRPr="002178D9" w:rsidRDefault="005A0242" w:rsidP="00BC7227">
      <w:pPr>
        <w:spacing w:after="0"/>
        <w:contextualSpacing/>
        <w:rPr>
          <w:u w:val="single"/>
        </w:rPr>
      </w:pPr>
      <w:r w:rsidRPr="002178D9">
        <w:rPr>
          <w:u w:val="single"/>
        </w:rPr>
        <w:t>Budget</w:t>
      </w:r>
      <w:r w:rsidRPr="002178D9">
        <w:t>:</w:t>
      </w:r>
    </w:p>
    <w:p w14:paraId="4AEC4A97" w14:textId="77777777" w:rsidR="00D83A96" w:rsidRPr="002178D9" w:rsidRDefault="00D83A96" w:rsidP="00BC7227">
      <w:pPr>
        <w:numPr>
          <w:ilvl w:val="0"/>
          <w:numId w:val="5"/>
        </w:numPr>
        <w:tabs>
          <w:tab w:val="clear" w:pos="1080"/>
          <w:tab w:val="num" w:pos="630"/>
        </w:tabs>
        <w:autoSpaceDE w:val="0"/>
        <w:autoSpaceDN w:val="0"/>
        <w:adjustRightInd w:val="0"/>
        <w:spacing w:after="0" w:line="240" w:lineRule="auto"/>
        <w:ind w:left="630"/>
        <w:contextualSpacing/>
      </w:pPr>
      <w:r w:rsidRPr="002178D9">
        <w:rPr>
          <w:rFonts w:ascii="Calibri" w:eastAsia="Times New Roman" w:hAnsi="Calibri" w:cs="Times New Roman"/>
          <w:szCs w:val="20"/>
          <w:lang w:val="en-GB" w:eastAsia="en-GB"/>
        </w:rPr>
        <w:t>Proposal budget falls within the funding limits of the Call for Proposals</w:t>
      </w:r>
    </w:p>
    <w:p w14:paraId="3CF63505" w14:textId="77777777" w:rsidR="005A0242" w:rsidRPr="002178D9" w:rsidRDefault="005A0242" w:rsidP="00BC7227">
      <w:pPr>
        <w:numPr>
          <w:ilvl w:val="0"/>
          <w:numId w:val="5"/>
        </w:numPr>
        <w:tabs>
          <w:tab w:val="clear" w:pos="1080"/>
          <w:tab w:val="num" w:pos="630"/>
        </w:tabs>
        <w:autoSpaceDE w:val="0"/>
        <w:autoSpaceDN w:val="0"/>
        <w:adjustRightInd w:val="0"/>
        <w:spacing w:after="0" w:line="240" w:lineRule="auto"/>
        <w:ind w:left="630"/>
        <w:contextualSpacing/>
      </w:pPr>
      <w:r w:rsidRPr="002178D9">
        <w:t xml:space="preserve">The budget includes indirect operational costs at the allowed level (no more than 7%). </w:t>
      </w:r>
    </w:p>
    <w:p w14:paraId="69352C2C" w14:textId="77777777" w:rsidR="00E72F28" w:rsidRPr="002178D9" w:rsidRDefault="00E72F28" w:rsidP="000B1243">
      <w:pPr>
        <w:spacing w:before="60" w:after="0" w:line="240" w:lineRule="auto"/>
        <w:contextualSpacing/>
      </w:pPr>
    </w:p>
    <w:p w14:paraId="16F6B4B4" w14:textId="17E3816B" w:rsidR="00E73428" w:rsidRPr="002178D9" w:rsidRDefault="00B02C13" w:rsidP="00B02C13">
      <w:pPr>
        <w:spacing w:after="0"/>
        <w:rPr>
          <w:b/>
        </w:rPr>
      </w:pPr>
      <w:r w:rsidRPr="002178D9">
        <w:rPr>
          <w:b/>
        </w:rPr>
        <w:t xml:space="preserve">10.  </w:t>
      </w:r>
      <w:r w:rsidR="00E73428" w:rsidRPr="002178D9">
        <w:rPr>
          <w:b/>
        </w:rPr>
        <w:t>Useful Resources</w:t>
      </w:r>
    </w:p>
    <w:p w14:paraId="24188897" w14:textId="483953FF" w:rsidR="006B1832" w:rsidRPr="002178D9" w:rsidRDefault="006B1832" w:rsidP="006B1832">
      <w:pPr>
        <w:pStyle w:val="ListParagraph"/>
        <w:numPr>
          <w:ilvl w:val="0"/>
          <w:numId w:val="10"/>
        </w:numPr>
        <w:spacing w:after="0"/>
        <w:rPr>
          <w:rStyle w:val="Hyperlink"/>
          <w:color w:val="auto"/>
          <w:u w:val="none"/>
        </w:rPr>
      </w:pPr>
      <w:r w:rsidRPr="002178D9">
        <w:t xml:space="preserve">The WPHF’s website </w:t>
      </w:r>
      <w:hyperlink r:id="rId10" w:history="1">
        <w:r w:rsidR="00833E8F" w:rsidRPr="002178D9">
          <w:rPr>
            <w:rStyle w:val="Hyperlink"/>
          </w:rPr>
          <w:t>https://wphfund.org/</w:t>
        </w:r>
      </w:hyperlink>
      <w:r w:rsidR="00833E8F" w:rsidRPr="002178D9">
        <w:t xml:space="preserve"> </w:t>
      </w:r>
    </w:p>
    <w:p w14:paraId="20A95EBE" w14:textId="49AFD473" w:rsidR="00F40788" w:rsidRPr="002178D9" w:rsidRDefault="00F40788" w:rsidP="006B1832">
      <w:pPr>
        <w:pStyle w:val="ListParagraph"/>
        <w:numPr>
          <w:ilvl w:val="0"/>
          <w:numId w:val="10"/>
        </w:numPr>
        <w:spacing w:after="0"/>
        <w:rPr>
          <w:rStyle w:val="Hyperlink"/>
          <w:color w:val="auto"/>
          <w:u w:val="none"/>
        </w:rPr>
      </w:pPr>
      <w:r w:rsidRPr="002178D9">
        <w:rPr>
          <w:rStyle w:val="Hyperlink"/>
          <w:color w:val="auto"/>
          <w:u w:val="none"/>
        </w:rPr>
        <w:t xml:space="preserve">Spotlight Initiative website </w:t>
      </w:r>
      <w:hyperlink r:id="rId11" w:history="1">
        <w:r w:rsidR="00833E8F" w:rsidRPr="002178D9">
          <w:rPr>
            <w:rStyle w:val="Hyperlink"/>
          </w:rPr>
          <w:t>https://www.spotlightinitiative.org/</w:t>
        </w:r>
      </w:hyperlink>
      <w:r w:rsidR="00833E8F" w:rsidRPr="002178D9">
        <w:rPr>
          <w:rStyle w:val="Hyperlink"/>
          <w:color w:val="auto"/>
          <w:u w:val="none"/>
        </w:rPr>
        <w:t xml:space="preserve"> </w:t>
      </w:r>
    </w:p>
    <w:p w14:paraId="4E7D15FF" w14:textId="027A6627" w:rsidR="00881C01" w:rsidRPr="002178D9" w:rsidRDefault="00881C01" w:rsidP="006B1832">
      <w:pPr>
        <w:pStyle w:val="ListParagraph"/>
        <w:numPr>
          <w:ilvl w:val="0"/>
          <w:numId w:val="10"/>
        </w:numPr>
        <w:spacing w:after="0"/>
        <w:rPr>
          <w:rStyle w:val="Hyperlink"/>
          <w:color w:val="auto"/>
          <w:u w:val="none"/>
        </w:rPr>
      </w:pPr>
      <w:r w:rsidRPr="002178D9">
        <w:rPr>
          <w:rStyle w:val="Hyperlink"/>
          <w:color w:val="auto"/>
          <w:u w:val="none"/>
        </w:rPr>
        <w:t>Indicator Tip Sheet</w:t>
      </w:r>
      <w:r w:rsidR="00AC7A50" w:rsidRPr="002178D9">
        <w:rPr>
          <w:rStyle w:val="Hyperlink"/>
          <w:color w:val="auto"/>
          <w:u w:val="none"/>
        </w:rPr>
        <w:t xml:space="preserve"> for WPHF/Spotlight Grantees </w:t>
      </w:r>
      <w:r w:rsidRPr="002178D9">
        <w:rPr>
          <w:rStyle w:val="Hyperlink"/>
        </w:rPr>
        <w:t>[</w:t>
      </w:r>
      <w:hyperlink r:id="rId12" w:history="1">
        <w:r w:rsidR="00972C3D" w:rsidRPr="00972C3D">
          <w:rPr>
            <w:rStyle w:val="Hyperlink"/>
          </w:rPr>
          <w:t>available here</w:t>
        </w:r>
      </w:hyperlink>
      <w:r w:rsidRPr="002178D9">
        <w:rPr>
          <w:rStyle w:val="Hyperlink"/>
        </w:rPr>
        <w:t>]</w:t>
      </w:r>
    </w:p>
    <w:p w14:paraId="591E15AC" w14:textId="5FCBFD52" w:rsidR="00B00CA8" w:rsidRPr="002178D9" w:rsidRDefault="00B00CA8" w:rsidP="000B7AA6">
      <w:pPr>
        <w:pStyle w:val="ListParagraph"/>
        <w:numPr>
          <w:ilvl w:val="0"/>
          <w:numId w:val="10"/>
        </w:numPr>
        <w:spacing w:after="0"/>
      </w:pPr>
      <w:proofErr w:type="gramStart"/>
      <w:r w:rsidRPr="002178D9">
        <w:t xml:space="preserve">The </w:t>
      </w:r>
      <w:r w:rsidR="00E4104B" w:rsidRPr="002178D9">
        <w:t xml:space="preserve"> </w:t>
      </w:r>
      <w:r w:rsidR="00964AD0" w:rsidRPr="002178D9">
        <w:t>WPHF</w:t>
      </w:r>
      <w:r w:rsidR="00E4104B" w:rsidRPr="002178D9">
        <w:t>’s</w:t>
      </w:r>
      <w:proofErr w:type="gramEnd"/>
      <w:r w:rsidR="00E4104B" w:rsidRPr="002178D9">
        <w:t xml:space="preserve"> page on the </w:t>
      </w:r>
      <w:r w:rsidRPr="002178D9">
        <w:t>Multi-Partner Trust Fund Office</w:t>
      </w:r>
      <w:r w:rsidR="00E4104B" w:rsidRPr="002178D9">
        <w:t>’s Gateway</w:t>
      </w:r>
      <w:r w:rsidRPr="002178D9">
        <w:t xml:space="preserve">: </w:t>
      </w:r>
      <w:hyperlink r:id="rId13" w:history="1">
        <w:r w:rsidR="009C018C" w:rsidRPr="002178D9">
          <w:rPr>
            <w:rStyle w:val="Hyperlink"/>
          </w:rPr>
          <w:t>http://mptf.undp.org/factsheet/fund/GAI00</w:t>
        </w:r>
      </w:hyperlink>
    </w:p>
    <w:p w14:paraId="5DCDD4D8" w14:textId="13FF2E8D" w:rsidR="009C018C" w:rsidRPr="002178D9" w:rsidRDefault="009C018C" w:rsidP="000B7AA6">
      <w:pPr>
        <w:pStyle w:val="ListParagraph"/>
        <w:numPr>
          <w:ilvl w:val="0"/>
          <w:numId w:val="10"/>
        </w:numPr>
        <w:spacing w:after="0"/>
      </w:pPr>
      <w:r w:rsidRPr="002178D9">
        <w:t xml:space="preserve">The </w:t>
      </w:r>
      <w:r w:rsidR="00964AD0" w:rsidRPr="002178D9">
        <w:t>WPHF</w:t>
      </w:r>
      <w:r w:rsidRPr="002178D9">
        <w:t xml:space="preserve">’s Twitter account: </w:t>
      </w:r>
      <w:hyperlink r:id="rId14" w:history="1">
        <w:r w:rsidR="005D5230" w:rsidRPr="002178D9">
          <w:rPr>
            <w:rStyle w:val="Hyperlink"/>
          </w:rPr>
          <w:t>@wphfund</w:t>
        </w:r>
      </w:hyperlink>
    </w:p>
    <w:p w14:paraId="663EE7E0" w14:textId="0A74E47C" w:rsidR="00B00CA8" w:rsidRPr="002178D9" w:rsidRDefault="00B00CA8" w:rsidP="000B7AA6">
      <w:pPr>
        <w:pStyle w:val="ListParagraph"/>
        <w:numPr>
          <w:ilvl w:val="0"/>
          <w:numId w:val="10"/>
        </w:numPr>
        <w:spacing w:after="0"/>
      </w:pPr>
      <w:r w:rsidRPr="002178D9">
        <w:t xml:space="preserve">M&amp;E and Results Based Management Terms. The OECD/DAC Glossary of Key Terms in Evaluation available in English, French and Spanish. </w:t>
      </w:r>
      <w:hyperlink r:id="rId15" w:history="1">
        <w:r w:rsidRPr="002178D9">
          <w:rPr>
            <w:rStyle w:val="Hyperlink"/>
          </w:rPr>
          <w:t>http://www.oecd.org/dataoecd/29/21/2754804.pdf</w:t>
        </w:r>
      </w:hyperlink>
    </w:p>
    <w:p w14:paraId="6F22920E" w14:textId="3739C9D1" w:rsidR="00B00CA8" w:rsidRPr="002178D9" w:rsidRDefault="00B00CA8" w:rsidP="000B7AA6">
      <w:pPr>
        <w:pStyle w:val="ListParagraph"/>
        <w:numPr>
          <w:ilvl w:val="0"/>
          <w:numId w:val="10"/>
        </w:numPr>
        <w:spacing w:after="0"/>
        <w:rPr>
          <w:rStyle w:val="Hyperlink"/>
          <w:color w:val="auto"/>
          <w:u w:val="none"/>
        </w:rPr>
      </w:pPr>
      <w:r w:rsidRPr="002178D9">
        <w:t xml:space="preserve">M&amp;E Standards and Guidelines. The United Nations Evaluation Group (UNEG) Standards for Evaluations, available in English, French, Spanish, Arabic and Russian </w:t>
      </w:r>
      <w:hyperlink r:id="rId16" w:history="1">
        <w:r w:rsidRPr="002178D9">
          <w:rPr>
            <w:rStyle w:val="Hyperlink"/>
          </w:rPr>
          <w:t>http://www.uneval.org/papersandpubs/documentdetail.jsp?doc_id=22</w:t>
        </w:r>
      </w:hyperlink>
    </w:p>
    <w:p w14:paraId="057B3F75" w14:textId="77777777" w:rsidR="004F7C73" w:rsidRPr="002178D9" w:rsidRDefault="004F7C73" w:rsidP="004F7C73">
      <w:pPr>
        <w:pStyle w:val="ListParagraph"/>
        <w:numPr>
          <w:ilvl w:val="0"/>
          <w:numId w:val="10"/>
        </w:numPr>
        <w:spacing w:after="0" w:line="240" w:lineRule="auto"/>
        <w:ind w:left="360" w:firstLine="0"/>
        <w:rPr>
          <w:rStyle w:val="Hyperlink"/>
        </w:rPr>
      </w:pPr>
      <w:r w:rsidRPr="002178D9">
        <w:fldChar w:fldCharType="begin"/>
      </w:r>
      <w:r w:rsidRPr="002178D9">
        <w:instrText xml:space="preserve"> HYPERLINK "http://mptf.undp.org/document/download/21022" </w:instrText>
      </w:r>
      <w:r w:rsidRPr="002178D9">
        <w:fldChar w:fldCharType="separate"/>
      </w:r>
      <w:r w:rsidRPr="002178D9">
        <w:rPr>
          <w:rStyle w:val="Hyperlink"/>
        </w:rPr>
        <w:t xml:space="preserve">Spotlight Terms of Reference 2017-2023, Annex 1 - Description of the action </w:t>
      </w:r>
    </w:p>
    <w:p w14:paraId="3F003197" w14:textId="643E178F" w:rsidR="004F7C73" w:rsidRDefault="004F7C73" w:rsidP="004F7C73">
      <w:r w:rsidRPr="002178D9">
        <w:fldChar w:fldCharType="end"/>
      </w:r>
    </w:p>
    <w:p w14:paraId="1A39183A" w14:textId="77777777" w:rsidR="00D618C5" w:rsidRPr="00D618C5" w:rsidRDefault="00D618C5" w:rsidP="000B7AA6">
      <w:pPr>
        <w:pStyle w:val="ListParagraph"/>
        <w:spacing w:after="0"/>
        <w:ind w:left="1440"/>
        <w:rPr>
          <w:vanish/>
          <w:specVanish/>
        </w:rPr>
      </w:pPr>
    </w:p>
    <w:p w14:paraId="57CD4558" w14:textId="5960DA00" w:rsidR="001253D5" w:rsidRPr="001A60B2" w:rsidRDefault="00D618C5" w:rsidP="001A60B2">
      <w:pPr>
        <w:spacing w:after="0"/>
        <w:rPr>
          <w:b/>
          <w:sz w:val="28"/>
          <w:szCs w:val="28"/>
        </w:rPr>
      </w:pPr>
      <w:r>
        <w:rPr>
          <w:b/>
          <w:sz w:val="28"/>
          <w:szCs w:val="28"/>
        </w:rPr>
        <w:t xml:space="preserve"> </w:t>
      </w:r>
    </w:p>
    <w:p w14:paraId="78E43D41" w14:textId="13B252E9" w:rsidR="00632081" w:rsidRPr="00F2078A" w:rsidRDefault="00632081" w:rsidP="00801418">
      <w:pPr>
        <w:rPr>
          <w:rFonts w:eastAsia="Times New Roman" w:cs="Arial"/>
          <w:color w:val="000000"/>
          <w:lang w:val="en-CA"/>
        </w:rPr>
      </w:pPr>
    </w:p>
    <w:sectPr w:rsidR="00632081" w:rsidRPr="00F2078A" w:rsidSect="00EF791F">
      <w:headerReference w:type="default" r:id="rId17"/>
      <w:footerReference w:type="default" r:id="rId18"/>
      <w:pgSz w:w="12240" w:h="15840"/>
      <w:pgMar w:top="1792" w:right="1440" w:bottom="1440" w:left="1440" w:header="72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BCC68" w14:textId="77777777" w:rsidR="000A7241" w:rsidRDefault="000A7241" w:rsidP="00081D3D">
      <w:pPr>
        <w:spacing w:after="0" w:line="240" w:lineRule="auto"/>
      </w:pPr>
      <w:r>
        <w:separator/>
      </w:r>
    </w:p>
  </w:endnote>
  <w:endnote w:type="continuationSeparator" w:id="0">
    <w:p w14:paraId="46BFEC74" w14:textId="77777777" w:rsidR="000A7241" w:rsidRDefault="000A7241" w:rsidP="00081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altName w:val="Calibri"/>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wf_segoe-ui_normal">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3414194"/>
      <w:docPartObj>
        <w:docPartGallery w:val="Page Numbers (Bottom of Page)"/>
        <w:docPartUnique/>
      </w:docPartObj>
    </w:sdtPr>
    <w:sdtEndPr>
      <w:rPr>
        <w:noProof/>
      </w:rPr>
    </w:sdtEndPr>
    <w:sdtContent>
      <w:p w14:paraId="50BE4EA3" w14:textId="26C9EFFE" w:rsidR="00093336" w:rsidRDefault="00093336">
        <w:pPr>
          <w:pStyle w:val="Footer"/>
          <w:jc w:val="center"/>
        </w:pPr>
        <w:r>
          <w:fldChar w:fldCharType="begin"/>
        </w:r>
        <w:r>
          <w:instrText xml:space="preserve"> PAGE   \* MERGEFORMAT </w:instrText>
        </w:r>
        <w:r>
          <w:fldChar w:fldCharType="separate"/>
        </w:r>
        <w:r w:rsidR="001F375E">
          <w:rPr>
            <w:noProof/>
          </w:rPr>
          <w:t>4</w:t>
        </w:r>
        <w:r>
          <w:rPr>
            <w:noProof/>
          </w:rPr>
          <w:fldChar w:fldCharType="end"/>
        </w:r>
      </w:p>
    </w:sdtContent>
  </w:sdt>
  <w:p w14:paraId="407B30FA" w14:textId="77777777" w:rsidR="00093336" w:rsidRDefault="00093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2A0A7" w14:textId="77777777" w:rsidR="000A7241" w:rsidRDefault="000A7241" w:rsidP="00081D3D">
      <w:pPr>
        <w:spacing w:after="0" w:line="240" w:lineRule="auto"/>
      </w:pPr>
      <w:r>
        <w:separator/>
      </w:r>
    </w:p>
  </w:footnote>
  <w:footnote w:type="continuationSeparator" w:id="0">
    <w:p w14:paraId="2048CB3C" w14:textId="77777777" w:rsidR="000A7241" w:rsidRDefault="000A7241" w:rsidP="00081D3D">
      <w:pPr>
        <w:spacing w:after="0" w:line="240" w:lineRule="auto"/>
      </w:pPr>
      <w:r>
        <w:continuationSeparator/>
      </w:r>
    </w:p>
  </w:footnote>
  <w:footnote w:id="1">
    <w:p w14:paraId="4A020D1B" w14:textId="77777777" w:rsidR="007D20AA" w:rsidRPr="005D73EC" w:rsidRDefault="007D20AA" w:rsidP="007D20AA">
      <w:pPr>
        <w:pStyle w:val="FootnoteText"/>
        <w:rPr>
          <w:i/>
          <w:lang w:val="en-US"/>
        </w:rPr>
      </w:pPr>
      <w:r w:rsidRPr="00E31E94">
        <w:rPr>
          <w:rStyle w:val="FootnoteReference"/>
          <w:sz w:val="18"/>
          <w:szCs w:val="18"/>
        </w:rPr>
        <w:footnoteRef/>
      </w:r>
      <w:r w:rsidRPr="00E31E94">
        <w:rPr>
          <w:sz w:val="18"/>
          <w:szCs w:val="18"/>
        </w:rPr>
        <w:t xml:space="preserve"> </w:t>
      </w:r>
      <w:r>
        <w:rPr>
          <w:sz w:val="18"/>
          <w:szCs w:val="18"/>
        </w:rPr>
        <w:t>Read more about the Spotlight Initiative at</w:t>
      </w:r>
      <w:r w:rsidRPr="00E31E94">
        <w:rPr>
          <w:sz w:val="18"/>
          <w:szCs w:val="18"/>
        </w:rPr>
        <w:t xml:space="preserve"> </w:t>
      </w:r>
      <w:hyperlink r:id="rId1" w:history="1">
        <w:r w:rsidRPr="005D73EC">
          <w:rPr>
            <w:rStyle w:val="Hyperlink"/>
            <w:sz w:val="18"/>
            <w:szCs w:val="18"/>
          </w:rPr>
          <w:t>http://www.un.org/en/spotlight-initiative/index.shtml</w:t>
        </w:r>
      </w:hyperlink>
      <w:r>
        <w:rPr>
          <w:rFonts w:eastAsia="Arial Unicode MS"/>
          <w:i/>
          <w:sz w:val="18"/>
          <w:szCs w:val="18"/>
        </w:rPr>
        <w:t>.</w:t>
      </w:r>
    </w:p>
  </w:footnote>
  <w:footnote w:id="2">
    <w:p w14:paraId="0C11F663" w14:textId="35472BD1" w:rsidR="001E060F" w:rsidRPr="001E060F" w:rsidRDefault="001E060F">
      <w:pPr>
        <w:pStyle w:val="FootnoteText"/>
      </w:pPr>
      <w:r>
        <w:rPr>
          <w:rStyle w:val="FootnoteReference"/>
        </w:rPr>
        <w:footnoteRef/>
      </w:r>
      <w:r>
        <w:t xml:space="preserve"> </w:t>
      </w:r>
      <w:r w:rsidRPr="001E060F">
        <w:t xml:space="preserve">To be considered a "woman-led CSO," the organisation must be headed by a woman. </w:t>
      </w:r>
      <w:r>
        <w:br/>
      </w:r>
      <w:r w:rsidRPr="001E060F">
        <w:t>To be considered a “women’s rights or feminist organisation,” the organisation’s official mission/visions statements must reflect its commitment to addressing multiple/intersecting forms of discrimination and advancing gender equality and women’s rights. The organisation should aim to address the underlying drivers/systems/structures, including patriarchy and gendered power dynamics, that perpetuate EVAWG and gender</w:t>
      </w:r>
      <w:r>
        <w:t>-</w:t>
      </w:r>
      <w:r w:rsidRPr="001E060F">
        <w:t>based violence and work to transform these.</w:t>
      </w:r>
    </w:p>
  </w:footnote>
  <w:footnote w:id="3">
    <w:p w14:paraId="64863C9C" w14:textId="77777777" w:rsidR="004057AB" w:rsidRPr="004B6294" w:rsidRDefault="004057AB" w:rsidP="004057AB">
      <w:pPr>
        <w:pStyle w:val="FootnoteText"/>
        <w:rPr>
          <w:lang w:val="en-CA"/>
        </w:rPr>
      </w:pPr>
      <w:r w:rsidRPr="004B6294">
        <w:rPr>
          <w:rStyle w:val="FootnoteReference"/>
          <w:lang w:val="en-CA"/>
        </w:rPr>
        <w:footnoteRef/>
      </w:r>
      <w:r w:rsidRPr="004B6294">
        <w:rPr>
          <w:lang w:val="en-CA"/>
        </w:rPr>
        <w:t xml:space="preserve"> Only if registered at the national level.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7820C" w14:textId="7DAB5D3A" w:rsidR="00093336" w:rsidRDefault="007737FA" w:rsidP="00424263">
    <w:pPr>
      <w:pStyle w:val="Header"/>
      <w:jc w:val="center"/>
    </w:pPr>
    <w:r>
      <w:rPr>
        <w:noProof/>
      </w:rPr>
      <w:drawing>
        <wp:inline distT="0" distB="0" distL="0" distR="0" wp14:anchorId="23455DED" wp14:editId="11C6B24B">
          <wp:extent cx="2926080" cy="763325"/>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cstate="print">
                    <a:extLst>
                      <a:ext uri="{28A0092B-C50C-407E-A947-70E740481C1C}">
                        <a14:useLocalDpi xmlns:a14="http://schemas.microsoft.com/office/drawing/2010/main" val="0"/>
                      </a:ext>
                    </a:extLst>
                  </a:blip>
                  <a:srcRect t="7130" r="2959" b="-1"/>
                  <a:stretch/>
                </pic:blipFill>
                <pic:spPr bwMode="auto">
                  <a:xfrm>
                    <a:off x="0" y="0"/>
                    <a:ext cx="2926080" cy="76332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1D80B791">
      <w:rPr>
        <w:noProof/>
      </w:rPr>
      <w:drawing>
        <wp:inline distT="0" distB="0" distL="0" distR="0" wp14:anchorId="4241564B" wp14:editId="6F9364D8">
          <wp:extent cx="2501900" cy="555977"/>
          <wp:effectExtent l="0" t="0" r="0" b="0"/>
          <wp:docPr id="16" name="Picture 16" descr="C:\Users\rullom\AppData\Local\Microsoft\Windows\INetCache\Content.Word\wphf.logo.color.subtitle.pos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
                    <a:extLst>
                      <a:ext uri="{28A0092B-C50C-407E-A947-70E740481C1C}">
                        <a14:useLocalDpi xmlns:a14="http://schemas.microsoft.com/office/drawing/2010/main" val="0"/>
                      </a:ext>
                    </a:extLst>
                  </a:blip>
                  <a:stretch>
                    <a:fillRect/>
                  </a:stretch>
                </pic:blipFill>
                <pic:spPr>
                  <a:xfrm>
                    <a:off x="0" y="0"/>
                    <a:ext cx="2501900" cy="5559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3340F"/>
    <w:multiLevelType w:val="hybridMultilevel"/>
    <w:tmpl w:val="9288DD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D46719"/>
    <w:multiLevelType w:val="hybridMultilevel"/>
    <w:tmpl w:val="89E223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A108A"/>
    <w:multiLevelType w:val="hybridMultilevel"/>
    <w:tmpl w:val="D10084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276F9"/>
    <w:multiLevelType w:val="hybridMultilevel"/>
    <w:tmpl w:val="01A43FD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0FF02E3"/>
    <w:multiLevelType w:val="hybridMultilevel"/>
    <w:tmpl w:val="F4CE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9317C"/>
    <w:multiLevelType w:val="hybridMultilevel"/>
    <w:tmpl w:val="443C0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C4B77"/>
    <w:multiLevelType w:val="hybridMultilevel"/>
    <w:tmpl w:val="557CF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9C3D9C"/>
    <w:multiLevelType w:val="hybridMultilevel"/>
    <w:tmpl w:val="CAA0120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5836D9"/>
    <w:multiLevelType w:val="hybridMultilevel"/>
    <w:tmpl w:val="D92C302E"/>
    <w:lvl w:ilvl="0" w:tplc="FFFFFFFF">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8D3F7A"/>
    <w:multiLevelType w:val="hybridMultilevel"/>
    <w:tmpl w:val="E2800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0C5243"/>
    <w:multiLevelType w:val="hybridMultilevel"/>
    <w:tmpl w:val="3822D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93F2F"/>
    <w:multiLevelType w:val="hybridMultilevel"/>
    <w:tmpl w:val="72688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8332FC"/>
    <w:multiLevelType w:val="hybridMultilevel"/>
    <w:tmpl w:val="4A32E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9A30F0"/>
    <w:multiLevelType w:val="hybridMultilevel"/>
    <w:tmpl w:val="4E3476D0"/>
    <w:lvl w:ilvl="0" w:tplc="04090001">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2257897"/>
    <w:multiLevelType w:val="hybridMultilevel"/>
    <w:tmpl w:val="1E46A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E87EC1"/>
    <w:multiLevelType w:val="hybridMultilevel"/>
    <w:tmpl w:val="89E223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3861C0"/>
    <w:multiLevelType w:val="hybridMultilevel"/>
    <w:tmpl w:val="B9882C46"/>
    <w:lvl w:ilvl="0" w:tplc="503A52DA">
      <w:start w:val="1"/>
      <w:numFmt w:val="bullet"/>
      <w:lvlText w:val=""/>
      <w:lvlJc w:val="left"/>
      <w:pPr>
        <w:tabs>
          <w:tab w:val="num" w:pos="720"/>
        </w:tabs>
        <w:ind w:left="720" w:hanging="360"/>
      </w:pPr>
      <w:rPr>
        <w:rFonts w:ascii="Symbol" w:hAnsi="Symbol" w:hint="default"/>
        <w:sz w:val="20"/>
      </w:rPr>
    </w:lvl>
    <w:lvl w:ilvl="1" w:tplc="E4AE6B52" w:tentative="1">
      <w:start w:val="1"/>
      <w:numFmt w:val="bullet"/>
      <w:lvlText w:val="o"/>
      <w:lvlJc w:val="left"/>
      <w:pPr>
        <w:tabs>
          <w:tab w:val="num" w:pos="1440"/>
        </w:tabs>
        <w:ind w:left="1440" w:hanging="360"/>
      </w:pPr>
      <w:rPr>
        <w:rFonts w:ascii="Courier New" w:hAnsi="Courier New" w:hint="default"/>
        <w:sz w:val="20"/>
      </w:rPr>
    </w:lvl>
    <w:lvl w:ilvl="2" w:tplc="C26AF72E" w:tentative="1">
      <w:start w:val="1"/>
      <w:numFmt w:val="bullet"/>
      <w:lvlText w:val=""/>
      <w:lvlJc w:val="left"/>
      <w:pPr>
        <w:tabs>
          <w:tab w:val="num" w:pos="2160"/>
        </w:tabs>
        <w:ind w:left="2160" w:hanging="360"/>
      </w:pPr>
      <w:rPr>
        <w:rFonts w:ascii="Wingdings" w:hAnsi="Wingdings" w:hint="default"/>
        <w:sz w:val="20"/>
      </w:rPr>
    </w:lvl>
    <w:lvl w:ilvl="3" w:tplc="40EAB46E" w:tentative="1">
      <w:start w:val="1"/>
      <w:numFmt w:val="bullet"/>
      <w:lvlText w:val=""/>
      <w:lvlJc w:val="left"/>
      <w:pPr>
        <w:tabs>
          <w:tab w:val="num" w:pos="2880"/>
        </w:tabs>
        <w:ind w:left="2880" w:hanging="360"/>
      </w:pPr>
      <w:rPr>
        <w:rFonts w:ascii="Wingdings" w:hAnsi="Wingdings" w:hint="default"/>
        <w:sz w:val="20"/>
      </w:rPr>
    </w:lvl>
    <w:lvl w:ilvl="4" w:tplc="701C5896" w:tentative="1">
      <w:start w:val="1"/>
      <w:numFmt w:val="bullet"/>
      <w:lvlText w:val=""/>
      <w:lvlJc w:val="left"/>
      <w:pPr>
        <w:tabs>
          <w:tab w:val="num" w:pos="3600"/>
        </w:tabs>
        <w:ind w:left="3600" w:hanging="360"/>
      </w:pPr>
      <w:rPr>
        <w:rFonts w:ascii="Wingdings" w:hAnsi="Wingdings" w:hint="default"/>
        <w:sz w:val="20"/>
      </w:rPr>
    </w:lvl>
    <w:lvl w:ilvl="5" w:tplc="DFC07048" w:tentative="1">
      <w:start w:val="1"/>
      <w:numFmt w:val="bullet"/>
      <w:lvlText w:val=""/>
      <w:lvlJc w:val="left"/>
      <w:pPr>
        <w:tabs>
          <w:tab w:val="num" w:pos="4320"/>
        </w:tabs>
        <w:ind w:left="4320" w:hanging="360"/>
      </w:pPr>
      <w:rPr>
        <w:rFonts w:ascii="Wingdings" w:hAnsi="Wingdings" w:hint="default"/>
        <w:sz w:val="20"/>
      </w:rPr>
    </w:lvl>
    <w:lvl w:ilvl="6" w:tplc="E2D461CA" w:tentative="1">
      <w:start w:val="1"/>
      <w:numFmt w:val="bullet"/>
      <w:lvlText w:val=""/>
      <w:lvlJc w:val="left"/>
      <w:pPr>
        <w:tabs>
          <w:tab w:val="num" w:pos="5040"/>
        </w:tabs>
        <w:ind w:left="5040" w:hanging="360"/>
      </w:pPr>
      <w:rPr>
        <w:rFonts w:ascii="Wingdings" w:hAnsi="Wingdings" w:hint="default"/>
        <w:sz w:val="20"/>
      </w:rPr>
    </w:lvl>
    <w:lvl w:ilvl="7" w:tplc="19F0859C" w:tentative="1">
      <w:start w:val="1"/>
      <w:numFmt w:val="bullet"/>
      <w:lvlText w:val=""/>
      <w:lvlJc w:val="left"/>
      <w:pPr>
        <w:tabs>
          <w:tab w:val="num" w:pos="5760"/>
        </w:tabs>
        <w:ind w:left="5760" w:hanging="360"/>
      </w:pPr>
      <w:rPr>
        <w:rFonts w:ascii="Wingdings" w:hAnsi="Wingdings" w:hint="default"/>
        <w:sz w:val="20"/>
      </w:rPr>
    </w:lvl>
    <w:lvl w:ilvl="8" w:tplc="10A62CBA"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183738"/>
    <w:multiLevelType w:val="hybridMultilevel"/>
    <w:tmpl w:val="5EC65FBA"/>
    <w:lvl w:ilvl="0" w:tplc="04090001">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135417A"/>
    <w:multiLevelType w:val="hybridMultilevel"/>
    <w:tmpl w:val="D888838C"/>
    <w:lvl w:ilvl="0" w:tplc="F97A55F4">
      <w:start w:val="1"/>
      <w:numFmt w:val="decimal"/>
      <w:lvlText w:val="%1."/>
      <w:lvlJc w:val="left"/>
      <w:pPr>
        <w:ind w:left="405" w:hanging="360"/>
      </w:pPr>
      <w:rPr>
        <w:rFonts w:hint="default"/>
      </w:rPr>
    </w:lvl>
    <w:lvl w:ilvl="1" w:tplc="20000019" w:tentative="1">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19" w15:restartNumberingAfterBreak="0">
    <w:nsid w:val="45E406DA"/>
    <w:multiLevelType w:val="multilevel"/>
    <w:tmpl w:val="F1FA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E313DF"/>
    <w:multiLevelType w:val="hybridMultilevel"/>
    <w:tmpl w:val="131455AC"/>
    <w:lvl w:ilvl="0" w:tplc="D3C240B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197966"/>
    <w:multiLevelType w:val="hybridMultilevel"/>
    <w:tmpl w:val="3BD4B97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513D679A"/>
    <w:multiLevelType w:val="hybridMultilevel"/>
    <w:tmpl w:val="20BA0A1A"/>
    <w:lvl w:ilvl="0" w:tplc="040C000F">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36C0AC0"/>
    <w:multiLevelType w:val="hybridMultilevel"/>
    <w:tmpl w:val="24345AE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54004E44"/>
    <w:multiLevelType w:val="hybridMultilevel"/>
    <w:tmpl w:val="7D2CA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4D090D"/>
    <w:multiLevelType w:val="hybridMultilevel"/>
    <w:tmpl w:val="3822D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B10B9F"/>
    <w:multiLevelType w:val="hybridMultilevel"/>
    <w:tmpl w:val="032AD34E"/>
    <w:lvl w:ilvl="0" w:tplc="04090001">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71223A8"/>
    <w:multiLevelType w:val="hybridMultilevel"/>
    <w:tmpl w:val="5464D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94574F0"/>
    <w:multiLevelType w:val="hybridMultilevel"/>
    <w:tmpl w:val="C1B6FE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402400"/>
    <w:multiLevelType w:val="hybridMultilevel"/>
    <w:tmpl w:val="210076F0"/>
    <w:lvl w:ilvl="0" w:tplc="D3C240B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440744"/>
    <w:multiLevelType w:val="hybridMultilevel"/>
    <w:tmpl w:val="CE901504"/>
    <w:lvl w:ilvl="0" w:tplc="04090001">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1DF7463"/>
    <w:multiLevelType w:val="hybridMultilevel"/>
    <w:tmpl w:val="7D3E265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BC526E"/>
    <w:multiLevelType w:val="hybridMultilevel"/>
    <w:tmpl w:val="1E7E4228"/>
    <w:lvl w:ilvl="0" w:tplc="040C0003">
      <w:start w:val="1"/>
      <w:numFmt w:val="bullet"/>
      <w:lvlText w:val="o"/>
      <w:lvlJc w:val="left"/>
      <w:pPr>
        <w:ind w:left="405" w:hanging="360"/>
      </w:pPr>
      <w:rPr>
        <w:rFonts w:ascii="Courier New" w:hAnsi="Courier New" w:cs="Courier New" w:hint="default"/>
      </w:rPr>
    </w:lvl>
    <w:lvl w:ilvl="1" w:tplc="20000019" w:tentative="1">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33" w15:restartNumberingAfterBreak="0">
    <w:nsid w:val="6B67141E"/>
    <w:multiLevelType w:val="multilevel"/>
    <w:tmpl w:val="04D0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4F563F"/>
    <w:multiLevelType w:val="hybridMultilevel"/>
    <w:tmpl w:val="FCD41B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553A53"/>
    <w:multiLevelType w:val="hybridMultilevel"/>
    <w:tmpl w:val="83025336"/>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AE3357F"/>
    <w:multiLevelType w:val="hybridMultilevel"/>
    <w:tmpl w:val="09C64D26"/>
    <w:lvl w:ilvl="0" w:tplc="B676847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C5A4E25"/>
    <w:multiLevelType w:val="hybridMultilevel"/>
    <w:tmpl w:val="68B0B60A"/>
    <w:lvl w:ilvl="0" w:tplc="10090001">
      <w:start w:val="1"/>
      <w:numFmt w:val="bullet"/>
      <w:lvlText w:val=""/>
      <w:lvlJc w:val="left"/>
      <w:pPr>
        <w:ind w:left="900" w:hanging="360"/>
      </w:pPr>
      <w:rPr>
        <w:rFonts w:ascii="Symbol" w:hAnsi="Symbol"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38" w15:restartNumberingAfterBreak="0">
    <w:nsid w:val="7D5735B4"/>
    <w:multiLevelType w:val="hybridMultilevel"/>
    <w:tmpl w:val="3822D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BE0AED"/>
    <w:multiLevelType w:val="hybridMultilevel"/>
    <w:tmpl w:val="13CAA7C8"/>
    <w:lvl w:ilvl="0" w:tplc="15082C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1"/>
  </w:num>
  <w:num w:numId="3">
    <w:abstractNumId w:val="35"/>
  </w:num>
  <w:num w:numId="4">
    <w:abstractNumId w:val="17"/>
  </w:num>
  <w:num w:numId="5">
    <w:abstractNumId w:val="30"/>
  </w:num>
  <w:num w:numId="6">
    <w:abstractNumId w:val="26"/>
  </w:num>
  <w:num w:numId="7">
    <w:abstractNumId w:val="13"/>
  </w:num>
  <w:num w:numId="8">
    <w:abstractNumId w:val="14"/>
  </w:num>
  <w:num w:numId="9">
    <w:abstractNumId w:val="16"/>
  </w:num>
  <w:num w:numId="10">
    <w:abstractNumId w:val="39"/>
  </w:num>
  <w:num w:numId="11">
    <w:abstractNumId w:val="9"/>
  </w:num>
  <w:num w:numId="12">
    <w:abstractNumId w:val="12"/>
  </w:num>
  <w:num w:numId="13">
    <w:abstractNumId w:val="8"/>
  </w:num>
  <w:num w:numId="14">
    <w:abstractNumId w:val="36"/>
  </w:num>
  <w:num w:numId="15">
    <w:abstractNumId w:val="2"/>
  </w:num>
  <w:num w:numId="16">
    <w:abstractNumId w:val="5"/>
  </w:num>
  <w:num w:numId="17">
    <w:abstractNumId w:val="15"/>
  </w:num>
  <w:num w:numId="18">
    <w:abstractNumId w:val="25"/>
  </w:num>
  <w:num w:numId="19">
    <w:abstractNumId w:val="38"/>
  </w:num>
  <w:num w:numId="20">
    <w:abstractNumId w:val="28"/>
  </w:num>
  <w:num w:numId="21">
    <w:abstractNumId w:val="31"/>
  </w:num>
  <w:num w:numId="22">
    <w:abstractNumId w:val="10"/>
  </w:num>
  <w:num w:numId="23">
    <w:abstractNumId w:val="40"/>
  </w:num>
  <w:num w:numId="24">
    <w:abstractNumId w:val="3"/>
  </w:num>
  <w:num w:numId="25">
    <w:abstractNumId w:val="6"/>
  </w:num>
  <w:num w:numId="26">
    <w:abstractNumId w:val="29"/>
  </w:num>
  <w:num w:numId="27">
    <w:abstractNumId w:val="20"/>
  </w:num>
  <w:num w:numId="28">
    <w:abstractNumId w:val="22"/>
  </w:num>
  <w:num w:numId="29">
    <w:abstractNumId w:val="21"/>
  </w:num>
  <w:num w:numId="30">
    <w:abstractNumId w:val="0"/>
  </w:num>
  <w:num w:numId="31">
    <w:abstractNumId w:val="11"/>
  </w:num>
  <w:num w:numId="32">
    <w:abstractNumId w:val="24"/>
  </w:num>
  <w:num w:numId="33">
    <w:abstractNumId w:val="23"/>
  </w:num>
  <w:num w:numId="34">
    <w:abstractNumId w:val="18"/>
  </w:num>
  <w:num w:numId="35">
    <w:abstractNumId w:val="33"/>
  </w:num>
  <w:num w:numId="36">
    <w:abstractNumId w:val="19"/>
  </w:num>
  <w:num w:numId="37">
    <w:abstractNumId w:val="37"/>
  </w:num>
  <w:num w:numId="38">
    <w:abstractNumId w:val="27"/>
  </w:num>
  <w:num w:numId="39">
    <w:abstractNumId w:val="4"/>
  </w:num>
  <w:num w:numId="40">
    <w:abstractNumId w:val="7"/>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4B4"/>
    <w:rsid w:val="00007C16"/>
    <w:rsid w:val="0001380B"/>
    <w:rsid w:val="00015FB3"/>
    <w:rsid w:val="000239AA"/>
    <w:rsid w:val="00027BA5"/>
    <w:rsid w:val="00027E47"/>
    <w:rsid w:val="000349F4"/>
    <w:rsid w:val="000526F2"/>
    <w:rsid w:val="00054BA7"/>
    <w:rsid w:val="000565CF"/>
    <w:rsid w:val="00066F07"/>
    <w:rsid w:val="00071653"/>
    <w:rsid w:val="0007434D"/>
    <w:rsid w:val="00074697"/>
    <w:rsid w:val="0007509D"/>
    <w:rsid w:val="00081222"/>
    <w:rsid w:val="00081D3D"/>
    <w:rsid w:val="0008353D"/>
    <w:rsid w:val="00093336"/>
    <w:rsid w:val="00095FDA"/>
    <w:rsid w:val="000A0FF0"/>
    <w:rsid w:val="000A10B5"/>
    <w:rsid w:val="000A24FF"/>
    <w:rsid w:val="000A7241"/>
    <w:rsid w:val="000B1243"/>
    <w:rsid w:val="000B227C"/>
    <w:rsid w:val="000B243D"/>
    <w:rsid w:val="000B7AA6"/>
    <w:rsid w:val="000D2C6D"/>
    <w:rsid w:val="000D44B4"/>
    <w:rsid w:val="000D77C9"/>
    <w:rsid w:val="000E358F"/>
    <w:rsid w:val="000F4AAD"/>
    <w:rsid w:val="000F4C84"/>
    <w:rsid w:val="000F6D5C"/>
    <w:rsid w:val="0010189B"/>
    <w:rsid w:val="00103BE0"/>
    <w:rsid w:val="00107C72"/>
    <w:rsid w:val="00113B33"/>
    <w:rsid w:val="00120336"/>
    <w:rsid w:val="00120607"/>
    <w:rsid w:val="001253D5"/>
    <w:rsid w:val="00125E43"/>
    <w:rsid w:val="001268AF"/>
    <w:rsid w:val="00141C1B"/>
    <w:rsid w:val="00142972"/>
    <w:rsid w:val="00144392"/>
    <w:rsid w:val="00147C4D"/>
    <w:rsid w:val="001516A9"/>
    <w:rsid w:val="00151945"/>
    <w:rsid w:val="00173AC7"/>
    <w:rsid w:val="001806BB"/>
    <w:rsid w:val="00181706"/>
    <w:rsid w:val="001841DE"/>
    <w:rsid w:val="00185F8C"/>
    <w:rsid w:val="001A0FCC"/>
    <w:rsid w:val="001A2D6B"/>
    <w:rsid w:val="001A4D67"/>
    <w:rsid w:val="001A58C0"/>
    <w:rsid w:val="001A60B2"/>
    <w:rsid w:val="001B08B5"/>
    <w:rsid w:val="001B1491"/>
    <w:rsid w:val="001B51A8"/>
    <w:rsid w:val="001C39E8"/>
    <w:rsid w:val="001C73D0"/>
    <w:rsid w:val="001D0AAE"/>
    <w:rsid w:val="001D7D5E"/>
    <w:rsid w:val="001E060F"/>
    <w:rsid w:val="001F0F3B"/>
    <w:rsid w:val="001F1A2D"/>
    <w:rsid w:val="001F29CA"/>
    <w:rsid w:val="001F375E"/>
    <w:rsid w:val="001F4F31"/>
    <w:rsid w:val="00205C83"/>
    <w:rsid w:val="002161DF"/>
    <w:rsid w:val="0021675D"/>
    <w:rsid w:val="002178D9"/>
    <w:rsid w:val="00220DCB"/>
    <w:rsid w:val="00234843"/>
    <w:rsid w:val="0023535E"/>
    <w:rsid w:val="00235D6F"/>
    <w:rsid w:val="0023644F"/>
    <w:rsid w:val="00240865"/>
    <w:rsid w:val="0024403A"/>
    <w:rsid w:val="002453A3"/>
    <w:rsid w:val="00251CB7"/>
    <w:rsid w:val="002561CA"/>
    <w:rsid w:val="00260D29"/>
    <w:rsid w:val="002668B0"/>
    <w:rsid w:val="002809DD"/>
    <w:rsid w:val="00284D24"/>
    <w:rsid w:val="0029003E"/>
    <w:rsid w:val="002A0B20"/>
    <w:rsid w:val="002A1CC5"/>
    <w:rsid w:val="002B0418"/>
    <w:rsid w:val="002B0F04"/>
    <w:rsid w:val="002B29D4"/>
    <w:rsid w:val="002B2F46"/>
    <w:rsid w:val="002B6396"/>
    <w:rsid w:val="002C091C"/>
    <w:rsid w:val="002D1EF9"/>
    <w:rsid w:val="002D390C"/>
    <w:rsid w:val="002D3A21"/>
    <w:rsid w:val="002D49A4"/>
    <w:rsid w:val="002D6551"/>
    <w:rsid w:val="002D6743"/>
    <w:rsid w:val="002E2318"/>
    <w:rsid w:val="002E75AD"/>
    <w:rsid w:val="002F1AE7"/>
    <w:rsid w:val="002F25A4"/>
    <w:rsid w:val="0030058C"/>
    <w:rsid w:val="00306EEB"/>
    <w:rsid w:val="00311C49"/>
    <w:rsid w:val="00315CF4"/>
    <w:rsid w:val="003161BC"/>
    <w:rsid w:val="00332687"/>
    <w:rsid w:val="00335278"/>
    <w:rsid w:val="003518E7"/>
    <w:rsid w:val="00351D0E"/>
    <w:rsid w:val="003600B1"/>
    <w:rsid w:val="00360FFC"/>
    <w:rsid w:val="0036571C"/>
    <w:rsid w:val="00375EA4"/>
    <w:rsid w:val="00380762"/>
    <w:rsid w:val="003A20AF"/>
    <w:rsid w:val="003A4DAE"/>
    <w:rsid w:val="003A5FA9"/>
    <w:rsid w:val="003B16ED"/>
    <w:rsid w:val="003B1B55"/>
    <w:rsid w:val="003B70F1"/>
    <w:rsid w:val="003C1F3C"/>
    <w:rsid w:val="003D024D"/>
    <w:rsid w:val="003D5758"/>
    <w:rsid w:val="003D5CD3"/>
    <w:rsid w:val="003D6D15"/>
    <w:rsid w:val="003E056B"/>
    <w:rsid w:val="003E106B"/>
    <w:rsid w:val="003E15F2"/>
    <w:rsid w:val="003E1C36"/>
    <w:rsid w:val="003E50D1"/>
    <w:rsid w:val="003F05E6"/>
    <w:rsid w:val="003F121A"/>
    <w:rsid w:val="003F39CD"/>
    <w:rsid w:val="003F6C25"/>
    <w:rsid w:val="003F7EE5"/>
    <w:rsid w:val="004001E6"/>
    <w:rsid w:val="00404743"/>
    <w:rsid w:val="004057AB"/>
    <w:rsid w:val="004128F0"/>
    <w:rsid w:val="00413D80"/>
    <w:rsid w:val="00424263"/>
    <w:rsid w:val="004245FF"/>
    <w:rsid w:val="00431426"/>
    <w:rsid w:val="00433728"/>
    <w:rsid w:val="00434F65"/>
    <w:rsid w:val="00443108"/>
    <w:rsid w:val="00443188"/>
    <w:rsid w:val="00465858"/>
    <w:rsid w:val="00470B52"/>
    <w:rsid w:val="004724DD"/>
    <w:rsid w:val="00473813"/>
    <w:rsid w:val="004758C7"/>
    <w:rsid w:val="00475B63"/>
    <w:rsid w:val="00481F9A"/>
    <w:rsid w:val="0048448D"/>
    <w:rsid w:val="0048590B"/>
    <w:rsid w:val="004A5E0D"/>
    <w:rsid w:val="004B4E06"/>
    <w:rsid w:val="004B7609"/>
    <w:rsid w:val="004C0259"/>
    <w:rsid w:val="004C31F2"/>
    <w:rsid w:val="004D5041"/>
    <w:rsid w:val="004D5280"/>
    <w:rsid w:val="004E5A87"/>
    <w:rsid w:val="004F0BC3"/>
    <w:rsid w:val="004F7C73"/>
    <w:rsid w:val="005001AC"/>
    <w:rsid w:val="00501742"/>
    <w:rsid w:val="005162E5"/>
    <w:rsid w:val="005168F7"/>
    <w:rsid w:val="00526317"/>
    <w:rsid w:val="00526474"/>
    <w:rsid w:val="0053543B"/>
    <w:rsid w:val="00537365"/>
    <w:rsid w:val="00537371"/>
    <w:rsid w:val="005445C8"/>
    <w:rsid w:val="005475B7"/>
    <w:rsid w:val="00552679"/>
    <w:rsid w:val="005548BB"/>
    <w:rsid w:val="00555CF0"/>
    <w:rsid w:val="00562078"/>
    <w:rsid w:val="005644A3"/>
    <w:rsid w:val="005658D0"/>
    <w:rsid w:val="00566F4B"/>
    <w:rsid w:val="00570464"/>
    <w:rsid w:val="00593F50"/>
    <w:rsid w:val="005A0242"/>
    <w:rsid w:val="005A4625"/>
    <w:rsid w:val="005A7597"/>
    <w:rsid w:val="005B5E50"/>
    <w:rsid w:val="005C22AA"/>
    <w:rsid w:val="005C3C5E"/>
    <w:rsid w:val="005C715D"/>
    <w:rsid w:val="005D0114"/>
    <w:rsid w:val="005D09DE"/>
    <w:rsid w:val="005D09E3"/>
    <w:rsid w:val="005D5230"/>
    <w:rsid w:val="005D7E82"/>
    <w:rsid w:val="005E2421"/>
    <w:rsid w:val="005E35D5"/>
    <w:rsid w:val="005E5323"/>
    <w:rsid w:val="005E5A38"/>
    <w:rsid w:val="005F5AFC"/>
    <w:rsid w:val="005F642E"/>
    <w:rsid w:val="0060064C"/>
    <w:rsid w:val="00602A04"/>
    <w:rsid w:val="006046D6"/>
    <w:rsid w:val="00611692"/>
    <w:rsid w:val="0061352B"/>
    <w:rsid w:val="00620110"/>
    <w:rsid w:val="006246F4"/>
    <w:rsid w:val="00631FE0"/>
    <w:rsid w:val="00632081"/>
    <w:rsid w:val="0063282D"/>
    <w:rsid w:val="0063721F"/>
    <w:rsid w:val="00643EF4"/>
    <w:rsid w:val="00647094"/>
    <w:rsid w:val="006479E5"/>
    <w:rsid w:val="00647D75"/>
    <w:rsid w:val="006520C8"/>
    <w:rsid w:val="006528A4"/>
    <w:rsid w:val="00655B08"/>
    <w:rsid w:val="00664426"/>
    <w:rsid w:val="006676BD"/>
    <w:rsid w:val="00682B85"/>
    <w:rsid w:val="0068443F"/>
    <w:rsid w:val="00686690"/>
    <w:rsid w:val="006971A0"/>
    <w:rsid w:val="006A2FC3"/>
    <w:rsid w:val="006A3D97"/>
    <w:rsid w:val="006A5502"/>
    <w:rsid w:val="006B1832"/>
    <w:rsid w:val="006B23BF"/>
    <w:rsid w:val="006B4007"/>
    <w:rsid w:val="006B54C9"/>
    <w:rsid w:val="006B6527"/>
    <w:rsid w:val="006D263B"/>
    <w:rsid w:val="006E3388"/>
    <w:rsid w:val="006E34A3"/>
    <w:rsid w:val="006E3C19"/>
    <w:rsid w:val="006E5846"/>
    <w:rsid w:val="006F408B"/>
    <w:rsid w:val="0071089C"/>
    <w:rsid w:val="00711622"/>
    <w:rsid w:val="00713E67"/>
    <w:rsid w:val="0071732C"/>
    <w:rsid w:val="00717841"/>
    <w:rsid w:val="007205A1"/>
    <w:rsid w:val="00723FA0"/>
    <w:rsid w:val="00726F3E"/>
    <w:rsid w:val="00727020"/>
    <w:rsid w:val="00735AFB"/>
    <w:rsid w:val="00736516"/>
    <w:rsid w:val="007377CF"/>
    <w:rsid w:val="00740B9E"/>
    <w:rsid w:val="00740CDE"/>
    <w:rsid w:val="00742431"/>
    <w:rsid w:val="007476EA"/>
    <w:rsid w:val="007556AE"/>
    <w:rsid w:val="00765A30"/>
    <w:rsid w:val="007678BE"/>
    <w:rsid w:val="007712A1"/>
    <w:rsid w:val="007737B7"/>
    <w:rsid w:val="007737FA"/>
    <w:rsid w:val="00777CA7"/>
    <w:rsid w:val="007807F0"/>
    <w:rsid w:val="00797F45"/>
    <w:rsid w:val="007A1B7E"/>
    <w:rsid w:val="007A4E8B"/>
    <w:rsid w:val="007A6581"/>
    <w:rsid w:val="007A762E"/>
    <w:rsid w:val="007B0D6C"/>
    <w:rsid w:val="007B38BF"/>
    <w:rsid w:val="007D199F"/>
    <w:rsid w:val="007D20AA"/>
    <w:rsid w:val="007D7326"/>
    <w:rsid w:val="007E39FF"/>
    <w:rsid w:val="007E438A"/>
    <w:rsid w:val="007E6984"/>
    <w:rsid w:val="007E7012"/>
    <w:rsid w:val="007E722A"/>
    <w:rsid w:val="007F27A2"/>
    <w:rsid w:val="007F726A"/>
    <w:rsid w:val="00801418"/>
    <w:rsid w:val="00801461"/>
    <w:rsid w:val="00802D5F"/>
    <w:rsid w:val="00807038"/>
    <w:rsid w:val="008162F1"/>
    <w:rsid w:val="008171C5"/>
    <w:rsid w:val="008205AA"/>
    <w:rsid w:val="00825622"/>
    <w:rsid w:val="008264AE"/>
    <w:rsid w:val="0083026D"/>
    <w:rsid w:val="00833E8F"/>
    <w:rsid w:val="00836318"/>
    <w:rsid w:val="0084524B"/>
    <w:rsid w:val="0084592D"/>
    <w:rsid w:val="00851F37"/>
    <w:rsid w:val="00853BDD"/>
    <w:rsid w:val="00853C4D"/>
    <w:rsid w:val="00855062"/>
    <w:rsid w:val="00876B13"/>
    <w:rsid w:val="00877CA9"/>
    <w:rsid w:val="00881C01"/>
    <w:rsid w:val="0088239F"/>
    <w:rsid w:val="008823A6"/>
    <w:rsid w:val="008936D2"/>
    <w:rsid w:val="008946E1"/>
    <w:rsid w:val="00895775"/>
    <w:rsid w:val="008958A0"/>
    <w:rsid w:val="008A05AB"/>
    <w:rsid w:val="008A3A01"/>
    <w:rsid w:val="008A5B21"/>
    <w:rsid w:val="008A67F5"/>
    <w:rsid w:val="008B0A76"/>
    <w:rsid w:val="008C11DD"/>
    <w:rsid w:val="008C58DC"/>
    <w:rsid w:val="008C5944"/>
    <w:rsid w:val="008D2D15"/>
    <w:rsid w:val="008D42C1"/>
    <w:rsid w:val="008D63D9"/>
    <w:rsid w:val="008E6EEB"/>
    <w:rsid w:val="008F51FA"/>
    <w:rsid w:val="008F559F"/>
    <w:rsid w:val="00902A46"/>
    <w:rsid w:val="00911675"/>
    <w:rsid w:val="00911C51"/>
    <w:rsid w:val="009225E3"/>
    <w:rsid w:val="00925C16"/>
    <w:rsid w:val="00931930"/>
    <w:rsid w:val="00940958"/>
    <w:rsid w:val="00954E76"/>
    <w:rsid w:val="00954FC6"/>
    <w:rsid w:val="00955E23"/>
    <w:rsid w:val="00957B35"/>
    <w:rsid w:val="0096042C"/>
    <w:rsid w:val="00960887"/>
    <w:rsid w:val="00964AD0"/>
    <w:rsid w:val="00972C3D"/>
    <w:rsid w:val="00974D74"/>
    <w:rsid w:val="009808D5"/>
    <w:rsid w:val="00981F8D"/>
    <w:rsid w:val="00985522"/>
    <w:rsid w:val="0098664C"/>
    <w:rsid w:val="0099066B"/>
    <w:rsid w:val="009A73DE"/>
    <w:rsid w:val="009B08B8"/>
    <w:rsid w:val="009B2C9D"/>
    <w:rsid w:val="009C018C"/>
    <w:rsid w:val="009C2889"/>
    <w:rsid w:val="009E0835"/>
    <w:rsid w:val="009E78FA"/>
    <w:rsid w:val="009F04AD"/>
    <w:rsid w:val="009F6D66"/>
    <w:rsid w:val="00A007EC"/>
    <w:rsid w:val="00A02A7C"/>
    <w:rsid w:val="00A02B7C"/>
    <w:rsid w:val="00A02EF7"/>
    <w:rsid w:val="00A13ECC"/>
    <w:rsid w:val="00A149C2"/>
    <w:rsid w:val="00A244F2"/>
    <w:rsid w:val="00A352CC"/>
    <w:rsid w:val="00A3618A"/>
    <w:rsid w:val="00A374AF"/>
    <w:rsid w:val="00A41068"/>
    <w:rsid w:val="00A43141"/>
    <w:rsid w:val="00A443ED"/>
    <w:rsid w:val="00A46A41"/>
    <w:rsid w:val="00A479DB"/>
    <w:rsid w:val="00A5416F"/>
    <w:rsid w:val="00A65489"/>
    <w:rsid w:val="00A74246"/>
    <w:rsid w:val="00A76801"/>
    <w:rsid w:val="00A81734"/>
    <w:rsid w:val="00A81F57"/>
    <w:rsid w:val="00A845EA"/>
    <w:rsid w:val="00A94AC4"/>
    <w:rsid w:val="00A9763B"/>
    <w:rsid w:val="00AB2589"/>
    <w:rsid w:val="00AB4033"/>
    <w:rsid w:val="00AC0774"/>
    <w:rsid w:val="00AC4D7B"/>
    <w:rsid w:val="00AC4D86"/>
    <w:rsid w:val="00AC7A50"/>
    <w:rsid w:val="00AD4341"/>
    <w:rsid w:val="00AD4576"/>
    <w:rsid w:val="00AF7419"/>
    <w:rsid w:val="00B00CA8"/>
    <w:rsid w:val="00B02C13"/>
    <w:rsid w:val="00B03B89"/>
    <w:rsid w:val="00B05554"/>
    <w:rsid w:val="00B10D74"/>
    <w:rsid w:val="00B130D5"/>
    <w:rsid w:val="00B13497"/>
    <w:rsid w:val="00B15D1D"/>
    <w:rsid w:val="00B17333"/>
    <w:rsid w:val="00B46903"/>
    <w:rsid w:val="00B46904"/>
    <w:rsid w:val="00B47DDF"/>
    <w:rsid w:val="00B648C6"/>
    <w:rsid w:val="00B700CE"/>
    <w:rsid w:val="00B739B5"/>
    <w:rsid w:val="00B80B71"/>
    <w:rsid w:val="00B8552D"/>
    <w:rsid w:val="00B900E8"/>
    <w:rsid w:val="00B935AB"/>
    <w:rsid w:val="00BA2D95"/>
    <w:rsid w:val="00BA6C90"/>
    <w:rsid w:val="00BB509D"/>
    <w:rsid w:val="00BC040F"/>
    <w:rsid w:val="00BC7227"/>
    <w:rsid w:val="00BC7DA7"/>
    <w:rsid w:val="00BD0265"/>
    <w:rsid w:val="00BD11C3"/>
    <w:rsid w:val="00BD1DD5"/>
    <w:rsid w:val="00BE1D42"/>
    <w:rsid w:val="00BF0A51"/>
    <w:rsid w:val="00C2203D"/>
    <w:rsid w:val="00C244D5"/>
    <w:rsid w:val="00C24DEE"/>
    <w:rsid w:val="00C250D3"/>
    <w:rsid w:val="00C30F83"/>
    <w:rsid w:val="00C32EE5"/>
    <w:rsid w:val="00C36E67"/>
    <w:rsid w:val="00C37A19"/>
    <w:rsid w:val="00C51D6A"/>
    <w:rsid w:val="00C55711"/>
    <w:rsid w:val="00C63265"/>
    <w:rsid w:val="00C63C69"/>
    <w:rsid w:val="00C674DE"/>
    <w:rsid w:val="00C7649A"/>
    <w:rsid w:val="00C85A2F"/>
    <w:rsid w:val="00C86A53"/>
    <w:rsid w:val="00C9024A"/>
    <w:rsid w:val="00C9106E"/>
    <w:rsid w:val="00C93628"/>
    <w:rsid w:val="00C97139"/>
    <w:rsid w:val="00CA2F8F"/>
    <w:rsid w:val="00CA4617"/>
    <w:rsid w:val="00CA464C"/>
    <w:rsid w:val="00CA47B0"/>
    <w:rsid w:val="00CA4C32"/>
    <w:rsid w:val="00CA67A6"/>
    <w:rsid w:val="00CA7935"/>
    <w:rsid w:val="00CA7B9F"/>
    <w:rsid w:val="00CC0C29"/>
    <w:rsid w:val="00CC1255"/>
    <w:rsid w:val="00CC3B2C"/>
    <w:rsid w:val="00CD150C"/>
    <w:rsid w:val="00CE65CF"/>
    <w:rsid w:val="00CE6BCC"/>
    <w:rsid w:val="00CF09CB"/>
    <w:rsid w:val="00CF0C3B"/>
    <w:rsid w:val="00CF4524"/>
    <w:rsid w:val="00CF67B3"/>
    <w:rsid w:val="00D03993"/>
    <w:rsid w:val="00D0536B"/>
    <w:rsid w:val="00D06A1A"/>
    <w:rsid w:val="00D307E4"/>
    <w:rsid w:val="00D310E0"/>
    <w:rsid w:val="00D336C3"/>
    <w:rsid w:val="00D3576F"/>
    <w:rsid w:val="00D44ED2"/>
    <w:rsid w:val="00D50D95"/>
    <w:rsid w:val="00D52CA6"/>
    <w:rsid w:val="00D5530D"/>
    <w:rsid w:val="00D5538E"/>
    <w:rsid w:val="00D618C5"/>
    <w:rsid w:val="00D7648C"/>
    <w:rsid w:val="00D83A96"/>
    <w:rsid w:val="00D86AF7"/>
    <w:rsid w:val="00D91938"/>
    <w:rsid w:val="00D932DE"/>
    <w:rsid w:val="00D9537D"/>
    <w:rsid w:val="00DB2B29"/>
    <w:rsid w:val="00DC061D"/>
    <w:rsid w:val="00DC1BB4"/>
    <w:rsid w:val="00DC20CA"/>
    <w:rsid w:val="00DC2D21"/>
    <w:rsid w:val="00DC3D1B"/>
    <w:rsid w:val="00DD2720"/>
    <w:rsid w:val="00DE26A7"/>
    <w:rsid w:val="00DE27B2"/>
    <w:rsid w:val="00DE4327"/>
    <w:rsid w:val="00DE4BA6"/>
    <w:rsid w:val="00DE4E2F"/>
    <w:rsid w:val="00DF0425"/>
    <w:rsid w:val="00DF1492"/>
    <w:rsid w:val="00DF1E39"/>
    <w:rsid w:val="00E0189B"/>
    <w:rsid w:val="00E03C25"/>
    <w:rsid w:val="00E0450C"/>
    <w:rsid w:val="00E15398"/>
    <w:rsid w:val="00E16007"/>
    <w:rsid w:val="00E17B9B"/>
    <w:rsid w:val="00E234E6"/>
    <w:rsid w:val="00E30F95"/>
    <w:rsid w:val="00E32977"/>
    <w:rsid w:val="00E37A1D"/>
    <w:rsid w:val="00E4104B"/>
    <w:rsid w:val="00E4390E"/>
    <w:rsid w:val="00E43D57"/>
    <w:rsid w:val="00E45D86"/>
    <w:rsid w:val="00E4681C"/>
    <w:rsid w:val="00E55137"/>
    <w:rsid w:val="00E56D45"/>
    <w:rsid w:val="00E626B2"/>
    <w:rsid w:val="00E632C4"/>
    <w:rsid w:val="00E72F28"/>
    <w:rsid w:val="00E73428"/>
    <w:rsid w:val="00E748AD"/>
    <w:rsid w:val="00E7692B"/>
    <w:rsid w:val="00E80146"/>
    <w:rsid w:val="00E86A4A"/>
    <w:rsid w:val="00E941B3"/>
    <w:rsid w:val="00EA10E1"/>
    <w:rsid w:val="00EB1099"/>
    <w:rsid w:val="00EB2326"/>
    <w:rsid w:val="00EB262C"/>
    <w:rsid w:val="00EB4EC9"/>
    <w:rsid w:val="00EB5A35"/>
    <w:rsid w:val="00EB658F"/>
    <w:rsid w:val="00EC4960"/>
    <w:rsid w:val="00EC4AAD"/>
    <w:rsid w:val="00ED01D7"/>
    <w:rsid w:val="00EE0208"/>
    <w:rsid w:val="00EE1C70"/>
    <w:rsid w:val="00EE3BB9"/>
    <w:rsid w:val="00EF1BA8"/>
    <w:rsid w:val="00EF2560"/>
    <w:rsid w:val="00EF2ADF"/>
    <w:rsid w:val="00EF791F"/>
    <w:rsid w:val="00F10DC0"/>
    <w:rsid w:val="00F2078A"/>
    <w:rsid w:val="00F2468F"/>
    <w:rsid w:val="00F25EB9"/>
    <w:rsid w:val="00F26D7E"/>
    <w:rsid w:val="00F3097C"/>
    <w:rsid w:val="00F332FC"/>
    <w:rsid w:val="00F37FC8"/>
    <w:rsid w:val="00F40788"/>
    <w:rsid w:val="00F42FD8"/>
    <w:rsid w:val="00F51974"/>
    <w:rsid w:val="00F56F5C"/>
    <w:rsid w:val="00F622F0"/>
    <w:rsid w:val="00F6717E"/>
    <w:rsid w:val="00F72326"/>
    <w:rsid w:val="00F72AA6"/>
    <w:rsid w:val="00F731F5"/>
    <w:rsid w:val="00F736D5"/>
    <w:rsid w:val="00F757A7"/>
    <w:rsid w:val="00FA712B"/>
    <w:rsid w:val="00FB4899"/>
    <w:rsid w:val="00FC211F"/>
    <w:rsid w:val="00FC5E2F"/>
    <w:rsid w:val="00FD1501"/>
    <w:rsid w:val="00FD39B4"/>
    <w:rsid w:val="00FD434D"/>
    <w:rsid w:val="00FE0F3C"/>
    <w:rsid w:val="0846B9A8"/>
    <w:rsid w:val="12F79C39"/>
    <w:rsid w:val="14A9769D"/>
    <w:rsid w:val="1D80B791"/>
    <w:rsid w:val="1F7455F0"/>
    <w:rsid w:val="21969284"/>
    <w:rsid w:val="2533E9F0"/>
    <w:rsid w:val="25D0AE4C"/>
    <w:rsid w:val="272F1CAE"/>
    <w:rsid w:val="2F615B2F"/>
    <w:rsid w:val="40093E4A"/>
    <w:rsid w:val="4C24833E"/>
    <w:rsid w:val="4EBB7361"/>
    <w:rsid w:val="5D236210"/>
    <w:rsid w:val="614964D8"/>
    <w:rsid w:val="671A7A82"/>
    <w:rsid w:val="6D696BEB"/>
    <w:rsid w:val="722D1DA4"/>
    <w:rsid w:val="756136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0DEFB"/>
  <w15:chartTrackingRefBased/>
  <w15:docId w15:val="{C3D166FF-A478-4FBA-82CF-C4D8BB71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Subtitle"/>
    <w:next w:val="Normal"/>
    <w:link w:val="Heading1Char"/>
    <w:uiPriority w:val="9"/>
    <w:qFormat/>
    <w:rsid w:val="00D932DE"/>
    <w:pPr>
      <w:spacing w:line="240" w:lineRule="auto"/>
      <w:jc w:val="center"/>
      <w:outlineLvl w:val="0"/>
    </w:pPr>
    <w:rPr>
      <w:rFonts w:cs="Calibri (Body)"/>
      <w:b/>
      <w:bCs/>
      <w:i/>
      <w:iCs/>
      <w:color w:val="000000" w:themeColor="text1"/>
      <w:spacing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0D44B4"/>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081D3D"/>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081D3D"/>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081D3D"/>
    <w:rPr>
      <w:vertAlign w:val="superscript"/>
      <w:lang w:val="en-GB" w:eastAsia="en-GB"/>
    </w:rPr>
  </w:style>
  <w:style w:type="paragraph" w:customStyle="1" w:styleId="Char2">
    <w:name w:val="Char2"/>
    <w:basedOn w:val="Normal"/>
    <w:link w:val="FootnoteReference"/>
    <w:uiPriority w:val="99"/>
    <w:rsid w:val="00081D3D"/>
    <w:pPr>
      <w:spacing w:line="240" w:lineRule="exact"/>
    </w:pPr>
    <w:rPr>
      <w:vertAlign w:val="superscript"/>
      <w:lang w:val="en-GB" w:eastAsia="en-GB"/>
    </w:rPr>
  </w:style>
  <w:style w:type="character" w:styleId="CommentReference">
    <w:name w:val="annotation reference"/>
    <w:basedOn w:val="DefaultParagraphFont"/>
    <w:uiPriority w:val="99"/>
    <w:semiHidden/>
    <w:unhideWhenUsed/>
    <w:rsid w:val="00F731F5"/>
    <w:rPr>
      <w:sz w:val="16"/>
      <w:szCs w:val="16"/>
    </w:rPr>
  </w:style>
  <w:style w:type="paragraph" w:styleId="CommentText">
    <w:name w:val="annotation text"/>
    <w:basedOn w:val="Normal"/>
    <w:link w:val="CommentTextChar"/>
    <w:uiPriority w:val="99"/>
    <w:unhideWhenUsed/>
    <w:rsid w:val="00F731F5"/>
    <w:pPr>
      <w:spacing w:line="240" w:lineRule="auto"/>
    </w:pPr>
    <w:rPr>
      <w:sz w:val="20"/>
      <w:szCs w:val="20"/>
    </w:rPr>
  </w:style>
  <w:style w:type="character" w:customStyle="1" w:styleId="CommentTextChar">
    <w:name w:val="Comment Text Char"/>
    <w:basedOn w:val="DefaultParagraphFont"/>
    <w:link w:val="CommentText"/>
    <w:uiPriority w:val="99"/>
    <w:rsid w:val="00F731F5"/>
    <w:rPr>
      <w:sz w:val="20"/>
      <w:szCs w:val="20"/>
    </w:rPr>
  </w:style>
  <w:style w:type="paragraph" w:styleId="CommentSubject">
    <w:name w:val="annotation subject"/>
    <w:basedOn w:val="CommentText"/>
    <w:next w:val="CommentText"/>
    <w:link w:val="CommentSubjectChar"/>
    <w:uiPriority w:val="99"/>
    <w:semiHidden/>
    <w:unhideWhenUsed/>
    <w:rsid w:val="00F731F5"/>
    <w:rPr>
      <w:b/>
      <w:bCs/>
    </w:rPr>
  </w:style>
  <w:style w:type="character" w:customStyle="1" w:styleId="CommentSubjectChar">
    <w:name w:val="Comment Subject Char"/>
    <w:basedOn w:val="CommentTextChar"/>
    <w:link w:val="CommentSubject"/>
    <w:uiPriority w:val="99"/>
    <w:semiHidden/>
    <w:rsid w:val="00F731F5"/>
    <w:rPr>
      <w:b/>
      <w:bCs/>
      <w:sz w:val="20"/>
      <w:szCs w:val="20"/>
    </w:rPr>
  </w:style>
  <w:style w:type="paragraph" w:styleId="BalloonText">
    <w:name w:val="Balloon Text"/>
    <w:basedOn w:val="Normal"/>
    <w:link w:val="BalloonTextChar"/>
    <w:uiPriority w:val="99"/>
    <w:semiHidden/>
    <w:unhideWhenUsed/>
    <w:rsid w:val="00F731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1F5"/>
    <w:rPr>
      <w:rFonts w:ascii="Segoe UI" w:hAnsi="Segoe UI" w:cs="Segoe UI"/>
      <w:sz w:val="18"/>
      <w:szCs w:val="18"/>
    </w:rPr>
  </w:style>
  <w:style w:type="paragraph" w:styleId="Title">
    <w:name w:val="Title"/>
    <w:basedOn w:val="Normal"/>
    <w:link w:val="TitleChar"/>
    <w:uiPriority w:val="10"/>
    <w:qFormat/>
    <w:rsid w:val="005A0242"/>
    <w:pPr>
      <w:spacing w:after="0" w:line="240" w:lineRule="auto"/>
      <w:jc w:val="center"/>
    </w:pPr>
    <w:rPr>
      <w:rFonts w:ascii="Arial" w:eastAsia="Times New Roman" w:hAnsi="Arial" w:cs="Times New Roman"/>
      <w:b/>
      <w:sz w:val="28"/>
      <w:szCs w:val="20"/>
      <w:lang w:val="en-GB" w:eastAsia="en-GB"/>
    </w:rPr>
  </w:style>
  <w:style w:type="character" w:customStyle="1" w:styleId="TitleChar">
    <w:name w:val="Title Char"/>
    <w:basedOn w:val="DefaultParagraphFont"/>
    <w:link w:val="Title"/>
    <w:uiPriority w:val="10"/>
    <w:rsid w:val="005A0242"/>
    <w:rPr>
      <w:rFonts w:ascii="Arial" w:eastAsia="Times New Roman" w:hAnsi="Arial" w:cs="Times New Roman"/>
      <w:b/>
      <w:sz w:val="28"/>
      <w:szCs w:val="20"/>
      <w:lang w:val="en-GB" w:eastAsia="en-GB"/>
    </w:rPr>
  </w:style>
  <w:style w:type="paragraph" w:customStyle="1" w:styleId="BVIfnrChar">
    <w:name w:val="BVI fnr Char"/>
    <w:aliases w:val="BVI fnr Car Car Char,BVI fnr Char Car Car Car Char,BVI fnr Char Car Car Car Char Char,BVI fnr Car Char,BVI fnr Car Car Car Car Char,BVI fnr Char Char Char,BVI fnr Car Car Char Char Char"/>
    <w:basedOn w:val="Normal"/>
    <w:rsid w:val="00125E43"/>
    <w:pPr>
      <w:spacing w:line="240" w:lineRule="exact"/>
    </w:pPr>
    <w:rPr>
      <w:rFonts w:ascii="Calibri" w:eastAsia="Times New Roman" w:hAnsi="Calibri" w:cs="Times New Roman"/>
      <w:sz w:val="20"/>
      <w:szCs w:val="20"/>
      <w:vertAlign w:val="superscript"/>
      <w:lang w:val="x-none" w:eastAsia="x-none"/>
    </w:rPr>
  </w:style>
  <w:style w:type="character" w:styleId="Hyperlink">
    <w:name w:val="Hyperlink"/>
    <w:basedOn w:val="DefaultParagraphFont"/>
    <w:uiPriority w:val="99"/>
    <w:unhideWhenUsed/>
    <w:rsid w:val="00FD39B4"/>
    <w:rPr>
      <w:color w:val="0563C1" w:themeColor="hyperlink"/>
      <w:u w:val="single"/>
    </w:rPr>
  </w:style>
  <w:style w:type="paragraph" w:styleId="NormalWeb">
    <w:name w:val="Normal (Web)"/>
    <w:basedOn w:val="Normal"/>
    <w:uiPriority w:val="99"/>
    <w:unhideWhenUsed/>
    <w:rsid w:val="000716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E7692B"/>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E7692B"/>
    <w:rPr>
      <w:rFonts w:ascii="Calibri" w:eastAsia="MS Mincho" w:hAnsi="Calibri" w:cs="Times New Roman"/>
      <w:lang w:val="en-GB" w:eastAsia="en-GB"/>
    </w:rPr>
  </w:style>
  <w:style w:type="paragraph" w:customStyle="1" w:styleId="ColorfulList-Accent11">
    <w:name w:val="Colorful List - Accent 11"/>
    <w:basedOn w:val="Normal"/>
    <w:uiPriority w:val="99"/>
    <w:rsid w:val="00E7692B"/>
    <w:pPr>
      <w:widowControl w:val="0"/>
      <w:spacing w:after="0" w:line="240" w:lineRule="auto"/>
      <w:ind w:left="720"/>
      <w:jc w:val="both"/>
    </w:pPr>
    <w:rPr>
      <w:rFonts w:ascii="Arial" w:eastAsia="Times New Roman" w:hAnsi="Arial" w:cs="Times New Roman"/>
      <w:szCs w:val="20"/>
      <w:lang w:val="en-GB" w:eastAsia="en-GB"/>
    </w:rPr>
  </w:style>
  <w:style w:type="paragraph" w:styleId="Footer">
    <w:name w:val="footer"/>
    <w:basedOn w:val="Normal"/>
    <w:link w:val="FooterChar"/>
    <w:uiPriority w:val="99"/>
    <w:unhideWhenUsed/>
    <w:rsid w:val="00BC0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40F"/>
  </w:style>
  <w:style w:type="paragraph" w:styleId="Revision">
    <w:name w:val="Revision"/>
    <w:hidden/>
    <w:uiPriority w:val="99"/>
    <w:semiHidden/>
    <w:rsid w:val="00566F4B"/>
    <w:pPr>
      <w:spacing w:after="0" w:line="240" w:lineRule="auto"/>
    </w:pPr>
  </w:style>
  <w:style w:type="table" w:styleId="TableGrid">
    <w:name w:val="Table Grid"/>
    <w:basedOn w:val="TableNormal"/>
    <w:uiPriority w:val="39"/>
    <w:rsid w:val="0076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D5280"/>
    <w:rPr>
      <w:color w:val="605E5C"/>
      <w:shd w:val="clear" w:color="auto" w:fill="E1DFDD"/>
    </w:rPr>
  </w:style>
  <w:style w:type="paragraph" w:styleId="NoSpacing">
    <w:name w:val="No Spacing"/>
    <w:uiPriority w:val="1"/>
    <w:qFormat/>
    <w:rsid w:val="0060064C"/>
    <w:pPr>
      <w:spacing w:after="0" w:line="240" w:lineRule="auto"/>
    </w:p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306EEB"/>
  </w:style>
  <w:style w:type="character" w:customStyle="1" w:styleId="Heading1Char">
    <w:name w:val="Heading 1 Char"/>
    <w:basedOn w:val="DefaultParagraphFont"/>
    <w:link w:val="Heading1"/>
    <w:uiPriority w:val="9"/>
    <w:rsid w:val="00D932DE"/>
    <w:rPr>
      <w:rFonts w:eastAsiaTheme="minorEastAsia" w:cs="Calibri (Body)"/>
      <w:b/>
      <w:bCs/>
      <w:i/>
      <w:iCs/>
      <w:color w:val="000000" w:themeColor="text1"/>
      <w:sz w:val="24"/>
      <w:szCs w:val="24"/>
      <w:lang w:val="en-GB"/>
    </w:rPr>
  </w:style>
  <w:style w:type="paragraph" w:styleId="Subtitle">
    <w:name w:val="Subtitle"/>
    <w:basedOn w:val="Normal"/>
    <w:next w:val="Normal"/>
    <w:link w:val="SubtitleChar"/>
    <w:uiPriority w:val="11"/>
    <w:qFormat/>
    <w:rsid w:val="00D932D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932DE"/>
    <w:rPr>
      <w:rFonts w:eastAsiaTheme="minorEastAsia"/>
      <w:color w:val="5A5A5A" w:themeColor="text1" w:themeTint="A5"/>
      <w:spacing w:val="15"/>
    </w:rPr>
  </w:style>
  <w:style w:type="paragraph" w:customStyle="1" w:styleId="Body1">
    <w:name w:val="Body 1"/>
    <w:rsid w:val="007D20AA"/>
    <w:pPr>
      <w:spacing w:after="0" w:line="240" w:lineRule="auto"/>
      <w:outlineLvl w:val="0"/>
    </w:pPr>
    <w:rPr>
      <w:rFonts w:ascii="Times New Roman" w:eastAsia="Arial Unicode MS" w:hAnsi="Times New Roman" w:cs="Times New Roman"/>
      <w:color w:val="000000"/>
      <w:sz w:val="24"/>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477346">
      <w:bodyDiv w:val="1"/>
      <w:marLeft w:val="0"/>
      <w:marRight w:val="0"/>
      <w:marTop w:val="0"/>
      <w:marBottom w:val="0"/>
      <w:divBdr>
        <w:top w:val="none" w:sz="0" w:space="0" w:color="auto"/>
        <w:left w:val="none" w:sz="0" w:space="0" w:color="auto"/>
        <w:bottom w:val="none" w:sz="0" w:space="0" w:color="auto"/>
        <w:right w:val="none" w:sz="0" w:space="0" w:color="auto"/>
      </w:divBdr>
    </w:div>
    <w:div w:id="1808231994">
      <w:bodyDiv w:val="1"/>
      <w:marLeft w:val="0"/>
      <w:marRight w:val="0"/>
      <w:marTop w:val="0"/>
      <w:marBottom w:val="0"/>
      <w:divBdr>
        <w:top w:val="none" w:sz="0" w:space="0" w:color="auto"/>
        <w:left w:val="none" w:sz="0" w:space="0" w:color="auto"/>
        <w:bottom w:val="none" w:sz="0" w:space="0" w:color="auto"/>
        <w:right w:val="none" w:sz="0" w:space="0" w:color="auto"/>
      </w:divBdr>
    </w:div>
    <w:div w:id="196473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p.pngco@unwomen.org" TargetMode="External"/><Relationship Id="rId13" Type="http://schemas.openxmlformats.org/officeDocument/2006/relationships/hyperlink" Target="http://mptf.undp.org/factsheet/fund/GAI0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phfund.org/wp-content/uploads/2021/03/Indicator-Tip-Sheet_Impact-5_Protection_Spotlight_ENG-FINAL_09112020.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neval.org/papersandpubs/documentdetail.jsp?doc_id=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otlightinitiative.org/" TargetMode="External"/><Relationship Id="rId5" Type="http://schemas.openxmlformats.org/officeDocument/2006/relationships/webSettings" Target="webSettings.xml"/><Relationship Id="rId15" Type="http://schemas.openxmlformats.org/officeDocument/2006/relationships/hyperlink" Target="http://www.oecd.org/dataoecd/29/21/2754804.pdf" TargetMode="External"/><Relationship Id="rId10" Type="http://schemas.openxmlformats.org/officeDocument/2006/relationships/hyperlink" Target="https://wphfund.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fp.pngco@unwomen.org" TargetMode="External"/><Relationship Id="rId14" Type="http://schemas.openxmlformats.org/officeDocument/2006/relationships/hyperlink" Target="https://twitter.com/AcceleratePea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org/en/spotlight-initiative/index.s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BAEBB-85F6-124F-8F62-05BB2ECB2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2836</Words>
  <Characters>16169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Fisher</dc:creator>
  <cp:keywords/>
  <dc:description/>
  <cp:lastModifiedBy>Joyous Begisen</cp:lastModifiedBy>
  <cp:revision>2</cp:revision>
  <cp:lastPrinted>2016-09-26T16:04:00Z</cp:lastPrinted>
  <dcterms:created xsi:type="dcterms:W3CDTF">2021-03-24T04:39:00Z</dcterms:created>
  <dcterms:modified xsi:type="dcterms:W3CDTF">2021-03-24T04:39:00Z</dcterms:modified>
</cp:coreProperties>
</file>